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BC49" w14:textId="56F1F182" w:rsidR="00D038BB" w:rsidRPr="00F93008" w:rsidRDefault="008C710A" w:rsidP="008C710A">
      <w:pPr>
        <w:jc w:val="center"/>
        <w:rPr>
          <w:b/>
          <w:bCs/>
          <w:sz w:val="20"/>
          <w:szCs w:val="20"/>
        </w:rPr>
      </w:pPr>
      <w:r w:rsidRPr="00F93008">
        <w:rPr>
          <w:b/>
          <w:bCs/>
          <w:sz w:val="20"/>
          <w:szCs w:val="20"/>
        </w:rPr>
        <w:t>CE Language</w:t>
      </w:r>
    </w:p>
    <w:p w14:paraId="1ACAED28" w14:textId="77777777" w:rsidR="00130510" w:rsidRPr="00F93008" w:rsidRDefault="00130510" w:rsidP="008C710A">
      <w:pPr>
        <w:jc w:val="center"/>
        <w:rPr>
          <w:b/>
          <w:bCs/>
          <w:sz w:val="20"/>
          <w:szCs w:val="20"/>
        </w:rPr>
      </w:pPr>
    </w:p>
    <w:p w14:paraId="6E1482FF" w14:textId="162CD72E" w:rsidR="00130510" w:rsidRPr="00F93008" w:rsidRDefault="00130510">
      <w:pPr>
        <w:rPr>
          <w:b/>
          <w:bCs/>
          <w:sz w:val="20"/>
          <w:szCs w:val="20"/>
        </w:rPr>
      </w:pPr>
      <w:r w:rsidRPr="00F93008">
        <w:rPr>
          <w:b/>
          <w:bCs/>
          <w:sz w:val="20"/>
          <w:szCs w:val="20"/>
        </w:rPr>
        <w:t>Boston University School of Medicine, Dept of Psychiatry</w:t>
      </w:r>
    </w:p>
    <w:p w14:paraId="75DFAC43" w14:textId="4FFD945D" w:rsidR="002307AC" w:rsidRPr="00F93008" w:rsidRDefault="002307AC">
      <w:pPr>
        <w:rPr>
          <w:b/>
          <w:bCs/>
          <w:sz w:val="20"/>
          <w:szCs w:val="20"/>
        </w:rPr>
      </w:pPr>
      <w:r w:rsidRPr="00F93008">
        <w:rPr>
          <w:b/>
          <w:bCs/>
          <w:sz w:val="20"/>
          <w:szCs w:val="20"/>
        </w:rPr>
        <w:t>202</w:t>
      </w:r>
      <w:r w:rsidR="00F93008" w:rsidRPr="00F93008">
        <w:rPr>
          <w:b/>
          <w:bCs/>
          <w:sz w:val="20"/>
          <w:szCs w:val="20"/>
        </w:rPr>
        <w:t>2</w:t>
      </w:r>
      <w:r w:rsidRPr="00F93008">
        <w:rPr>
          <w:b/>
          <w:bCs/>
          <w:sz w:val="20"/>
          <w:szCs w:val="20"/>
        </w:rPr>
        <w:t xml:space="preserve"> </w:t>
      </w:r>
      <w:r w:rsidR="00F93008" w:rsidRPr="00F93008">
        <w:rPr>
          <w:b/>
          <w:bCs/>
          <w:sz w:val="20"/>
          <w:szCs w:val="20"/>
        </w:rPr>
        <w:t xml:space="preserve">Next Gen: Young Adult Mental Health </w:t>
      </w:r>
      <w:r w:rsidRPr="00F93008">
        <w:rPr>
          <w:b/>
          <w:bCs/>
          <w:sz w:val="20"/>
          <w:szCs w:val="20"/>
        </w:rPr>
        <w:t>Conference</w:t>
      </w:r>
    </w:p>
    <w:p w14:paraId="2C78F013" w14:textId="42113C1B" w:rsidR="008C710A" w:rsidRPr="00F93008" w:rsidRDefault="00130510">
      <w:pPr>
        <w:rPr>
          <w:b/>
          <w:bCs/>
          <w:sz w:val="20"/>
          <w:szCs w:val="20"/>
        </w:rPr>
      </w:pPr>
      <w:r w:rsidRPr="00F93008">
        <w:rPr>
          <w:b/>
          <w:bCs/>
          <w:sz w:val="20"/>
          <w:szCs w:val="20"/>
        </w:rPr>
        <w:t>Ma</w:t>
      </w:r>
      <w:r w:rsidR="00F93008" w:rsidRPr="00F93008">
        <w:rPr>
          <w:b/>
          <w:bCs/>
          <w:sz w:val="20"/>
          <w:szCs w:val="20"/>
        </w:rPr>
        <w:t>rch 31</w:t>
      </w:r>
      <w:r w:rsidRPr="00F93008">
        <w:rPr>
          <w:b/>
          <w:bCs/>
          <w:sz w:val="20"/>
          <w:szCs w:val="20"/>
        </w:rPr>
        <w:t>, 202</w:t>
      </w:r>
      <w:r w:rsidR="00F93008" w:rsidRPr="00F93008">
        <w:rPr>
          <w:b/>
          <w:bCs/>
          <w:sz w:val="20"/>
          <w:szCs w:val="20"/>
        </w:rPr>
        <w:t>2</w:t>
      </w:r>
    </w:p>
    <w:p w14:paraId="0AF757C1" w14:textId="3201BFB9" w:rsidR="00BD32F0" w:rsidRPr="00F93008" w:rsidRDefault="00BD32F0">
      <w:pPr>
        <w:rPr>
          <w:b/>
          <w:bCs/>
          <w:sz w:val="20"/>
          <w:szCs w:val="20"/>
        </w:rPr>
      </w:pPr>
      <w:r w:rsidRPr="00F93008">
        <w:rPr>
          <w:b/>
          <w:bCs/>
          <w:sz w:val="20"/>
          <w:szCs w:val="20"/>
        </w:rPr>
        <w:t>Online</w:t>
      </w:r>
    </w:p>
    <w:p w14:paraId="7C12D871" w14:textId="7A06563E" w:rsidR="008C710A" w:rsidRPr="00F93008" w:rsidRDefault="008C710A">
      <w:pPr>
        <w:rPr>
          <w:b/>
          <w:bCs/>
          <w:sz w:val="20"/>
          <w:szCs w:val="20"/>
        </w:rPr>
      </w:pPr>
    </w:p>
    <w:p w14:paraId="6525B6CD" w14:textId="77777777" w:rsidR="008C710A" w:rsidRPr="00F93008" w:rsidRDefault="008C710A" w:rsidP="008C710A">
      <w:pPr>
        <w:rPr>
          <w:b/>
          <w:sz w:val="20"/>
          <w:szCs w:val="20"/>
          <w:u w:val="single"/>
        </w:rPr>
      </w:pPr>
      <w:r w:rsidRPr="00F93008">
        <w:rPr>
          <w:b/>
          <w:sz w:val="20"/>
          <w:szCs w:val="20"/>
          <w:u w:val="single"/>
        </w:rPr>
        <w:t>Accreditation Statement</w:t>
      </w:r>
    </w:p>
    <w:p w14:paraId="72E2C9B6" w14:textId="6D393D0C" w:rsidR="008C710A" w:rsidRPr="00F93008" w:rsidRDefault="008C710A" w:rsidP="008C710A">
      <w:pPr>
        <w:rPr>
          <w:sz w:val="20"/>
          <w:szCs w:val="20"/>
        </w:rPr>
      </w:pPr>
      <w:r w:rsidRPr="00F93008">
        <w:rPr>
          <w:noProof/>
          <w:sz w:val="20"/>
          <w:szCs w:val="20"/>
        </w:rPr>
        <w:drawing>
          <wp:anchor distT="0" distB="0" distL="114300" distR="114300" simplePos="0" relativeHeight="251659264" behindDoc="1" locked="0" layoutInCell="1" allowOverlap="1" wp14:anchorId="016132E6" wp14:editId="08EA44B3">
            <wp:simplePos x="0" y="0"/>
            <wp:positionH relativeFrom="column">
              <wp:posOffset>49839</wp:posOffset>
            </wp:positionH>
            <wp:positionV relativeFrom="paragraph">
              <wp:posOffset>49774</wp:posOffset>
            </wp:positionV>
            <wp:extent cx="1170432" cy="749808"/>
            <wp:effectExtent l="0" t="0" r="0" b="0"/>
            <wp:wrapTight wrapText="right">
              <wp:wrapPolygon edited="0">
                <wp:start x="0" y="0"/>
                <wp:lineTo x="0" y="21234"/>
                <wp:lineTo x="21330" y="21234"/>
                <wp:lineTo x="21330" y="0"/>
                <wp:lineTo x="0" y="0"/>
              </wp:wrapPolygon>
            </wp:wrapTight>
            <wp:docPr id="15"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432"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008">
        <w:rPr>
          <w:sz w:val="20"/>
          <w:szCs w:val="20"/>
        </w:rPr>
        <w:t>In support of improving patient care, this activity has been planned and implemented by Amedco LLC and Boston University School of Medicine, Dept of Psychiatry (BUSM-PSY).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602777A4" w14:textId="1E5A41C6" w:rsidR="008C710A" w:rsidRPr="00F93008" w:rsidRDefault="008C710A">
      <w:pPr>
        <w:rPr>
          <w:sz w:val="20"/>
          <w:szCs w:val="20"/>
        </w:rPr>
      </w:pPr>
    </w:p>
    <w:p w14:paraId="00958005" w14:textId="77777777" w:rsidR="00F93008" w:rsidRPr="00F93008" w:rsidRDefault="00F93008" w:rsidP="00F93008">
      <w:pPr>
        <w:rPr>
          <w:rFonts w:cstheme="minorHAnsi"/>
          <w:b/>
          <w:sz w:val="20"/>
          <w:szCs w:val="20"/>
          <w:u w:val="single"/>
        </w:rPr>
      </w:pPr>
      <w:r w:rsidRPr="00F93008">
        <w:rPr>
          <w:rFonts w:cstheme="minorHAnsi"/>
          <w:b/>
          <w:sz w:val="20"/>
          <w:szCs w:val="20"/>
          <w:u w:val="single"/>
        </w:rPr>
        <w:t>Physicians (ACCME) Credit Designation</w:t>
      </w:r>
    </w:p>
    <w:p w14:paraId="6681B0E8" w14:textId="16ED8496" w:rsidR="008C710A" w:rsidRPr="00F93008" w:rsidRDefault="008C710A" w:rsidP="008C710A">
      <w:pPr>
        <w:rPr>
          <w:bCs/>
          <w:sz w:val="20"/>
          <w:szCs w:val="20"/>
        </w:rPr>
      </w:pPr>
      <w:r w:rsidRPr="00F93008">
        <w:rPr>
          <w:sz w:val="20"/>
          <w:szCs w:val="20"/>
        </w:rPr>
        <w:t xml:space="preserve">Amedco LLC </w:t>
      </w:r>
      <w:r w:rsidRPr="00F93008">
        <w:rPr>
          <w:bCs/>
          <w:sz w:val="20"/>
          <w:szCs w:val="20"/>
        </w:rPr>
        <w:t xml:space="preserve">designates this live activity for a maximum of </w:t>
      </w:r>
      <w:r w:rsidR="008D3C3A">
        <w:rPr>
          <w:rFonts w:ascii="Calibri" w:hAnsi="Calibri" w:cs="Calibri"/>
          <w:b/>
          <w:color w:val="000000" w:themeColor="text1"/>
          <w:sz w:val="20"/>
          <w:szCs w:val="20"/>
        </w:rPr>
        <w:t>5.5</w:t>
      </w:r>
      <w:r w:rsidR="00F93008" w:rsidRPr="00F93008">
        <w:rPr>
          <w:rFonts w:ascii="Calibri" w:hAnsi="Calibri" w:cs="Calibri"/>
          <w:b/>
          <w:color w:val="000000" w:themeColor="text1"/>
          <w:sz w:val="20"/>
          <w:szCs w:val="20"/>
        </w:rPr>
        <w:t xml:space="preserve"> </w:t>
      </w:r>
      <w:r w:rsidRPr="00F93008">
        <w:rPr>
          <w:bCs/>
          <w:i/>
          <w:iCs/>
          <w:sz w:val="20"/>
          <w:szCs w:val="20"/>
        </w:rPr>
        <w:t>AMA PRA Category 1 Credits</w:t>
      </w:r>
      <w:r w:rsidRPr="00F93008">
        <w:rPr>
          <w:bCs/>
          <w:iCs/>
          <w:sz w:val="20"/>
          <w:szCs w:val="20"/>
          <w:vertAlign w:val="superscript"/>
        </w:rPr>
        <w:t>TM</w:t>
      </w:r>
      <w:r w:rsidRPr="00F93008">
        <w:rPr>
          <w:bCs/>
          <w:sz w:val="20"/>
          <w:szCs w:val="20"/>
        </w:rPr>
        <w:t xml:space="preserve">. Physicians should </w:t>
      </w:r>
      <w:r w:rsidRPr="00F93008">
        <w:rPr>
          <w:rFonts w:cs="Helvetica"/>
          <w:sz w:val="20"/>
          <w:szCs w:val="20"/>
        </w:rPr>
        <w:t xml:space="preserve">claim only the credit </w:t>
      </w:r>
      <w:r w:rsidRPr="00F93008">
        <w:rPr>
          <w:bCs/>
          <w:sz w:val="20"/>
          <w:szCs w:val="20"/>
        </w:rPr>
        <w:t xml:space="preserve">commensurate with the extent of their participation in the activity.  </w:t>
      </w:r>
    </w:p>
    <w:p w14:paraId="04CC3383" w14:textId="28E0D134" w:rsidR="002D1F61" w:rsidRPr="00F93008" w:rsidRDefault="002D1F61" w:rsidP="008C710A">
      <w:pPr>
        <w:rPr>
          <w:bCs/>
          <w:sz w:val="20"/>
          <w:szCs w:val="20"/>
        </w:rPr>
      </w:pPr>
    </w:p>
    <w:p w14:paraId="56AA4261" w14:textId="77777777" w:rsidR="00F93008" w:rsidRPr="00F93008" w:rsidRDefault="00F93008" w:rsidP="00F93008">
      <w:pPr>
        <w:rPr>
          <w:rFonts w:cstheme="minorHAnsi"/>
          <w:b/>
          <w:sz w:val="20"/>
          <w:szCs w:val="20"/>
          <w:u w:val="single"/>
        </w:rPr>
      </w:pPr>
      <w:r w:rsidRPr="00F93008">
        <w:rPr>
          <w:rFonts w:cstheme="minorHAnsi"/>
          <w:b/>
          <w:sz w:val="20"/>
          <w:szCs w:val="20"/>
          <w:u w:val="single"/>
        </w:rPr>
        <w:t>Nurses (ANCC) Credit Designation</w:t>
      </w:r>
    </w:p>
    <w:p w14:paraId="59F8D312" w14:textId="5540B001" w:rsidR="002D1F61" w:rsidRPr="00F93008" w:rsidRDefault="002D1F61" w:rsidP="002D1F61">
      <w:pPr>
        <w:rPr>
          <w:rFonts w:ascii="Calibri" w:hAnsi="Calibri" w:cs="Calibri"/>
          <w:color w:val="000000"/>
          <w:sz w:val="20"/>
          <w:szCs w:val="20"/>
        </w:rPr>
      </w:pPr>
      <w:r w:rsidRPr="00F93008">
        <w:rPr>
          <w:rFonts w:ascii="Calibri" w:hAnsi="Calibri" w:cs="Calibri"/>
          <w:color w:val="000000"/>
          <w:sz w:val="20"/>
          <w:szCs w:val="20"/>
        </w:rPr>
        <w:t>Amedco LLC designates this activity for a maximum of</w:t>
      </w:r>
      <w:r w:rsidRPr="00F93008">
        <w:rPr>
          <w:bCs/>
          <w:sz w:val="20"/>
          <w:szCs w:val="20"/>
        </w:rPr>
        <w:t xml:space="preserve"> </w:t>
      </w:r>
      <w:r w:rsidR="008D3C3A">
        <w:rPr>
          <w:rFonts w:ascii="Calibri" w:hAnsi="Calibri" w:cs="Calibri"/>
          <w:b/>
          <w:color w:val="000000" w:themeColor="text1"/>
          <w:sz w:val="20"/>
          <w:szCs w:val="20"/>
        </w:rPr>
        <w:t xml:space="preserve">5.5 </w:t>
      </w:r>
      <w:r w:rsidRPr="00F93008">
        <w:rPr>
          <w:rFonts w:ascii="Calibri" w:hAnsi="Calibri" w:cs="Calibri"/>
          <w:color w:val="000000"/>
          <w:sz w:val="20"/>
          <w:szCs w:val="20"/>
        </w:rPr>
        <w:t>ANCC contact hours.</w:t>
      </w:r>
    </w:p>
    <w:p w14:paraId="186CAE58" w14:textId="77777777" w:rsidR="008C710A" w:rsidRPr="00F93008" w:rsidRDefault="008C710A" w:rsidP="008C710A">
      <w:pPr>
        <w:rPr>
          <w:bCs/>
          <w:sz w:val="20"/>
          <w:szCs w:val="20"/>
        </w:rPr>
      </w:pPr>
    </w:p>
    <w:p w14:paraId="5687C091" w14:textId="77777777" w:rsidR="00F93008" w:rsidRPr="00F93008" w:rsidRDefault="00F93008" w:rsidP="00F93008">
      <w:pPr>
        <w:rPr>
          <w:rFonts w:ascii="Calibri" w:hAnsi="Calibri"/>
          <w:b/>
          <w:sz w:val="20"/>
          <w:szCs w:val="20"/>
          <w:u w:val="single"/>
        </w:rPr>
      </w:pPr>
      <w:r w:rsidRPr="00F93008">
        <w:rPr>
          <w:noProof/>
          <w:sz w:val="20"/>
          <w:szCs w:val="20"/>
        </w:rPr>
        <mc:AlternateContent>
          <mc:Choice Requires="wps">
            <w:drawing>
              <wp:anchor distT="0" distB="0" distL="114300" distR="114300" simplePos="0" relativeHeight="251662336" behindDoc="0" locked="0" layoutInCell="1" allowOverlap="1" wp14:anchorId="0B4DCBA0" wp14:editId="42896CFA">
                <wp:simplePos x="0" y="0"/>
                <wp:positionH relativeFrom="column">
                  <wp:posOffset>-200660</wp:posOffset>
                </wp:positionH>
                <wp:positionV relativeFrom="paragraph">
                  <wp:posOffset>196215</wp:posOffset>
                </wp:positionV>
                <wp:extent cx="1673860" cy="695960"/>
                <wp:effectExtent l="0" t="0" r="0" b="0"/>
                <wp:wrapSquare wrapText="bothSides"/>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3860" cy="695960"/>
                        </a:xfrm>
                        <a:prstGeom prst="rect">
                          <a:avLst/>
                        </a:prstGeom>
                        <a:solidFill>
                          <a:sysClr val="window" lastClr="FFFFFF"/>
                        </a:solidFill>
                        <a:ln w="6350">
                          <a:noFill/>
                        </a:ln>
                      </wps:spPr>
                      <wps:txbx>
                        <w:txbxContent>
                          <w:p w14:paraId="28447D4E" w14:textId="77777777" w:rsidR="00F93008" w:rsidRDefault="00F93008" w:rsidP="00F93008">
                            <w:r w:rsidRPr="00E932A8">
                              <w:rPr>
                                <w:noProof/>
                              </w:rPr>
                              <w:drawing>
                                <wp:inline distT="0" distB="0" distL="0" distR="0" wp14:anchorId="04D441B3" wp14:editId="5DE93449">
                                  <wp:extent cx="1506855" cy="601345"/>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6855" cy="6013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DCBA0" id="_x0000_t202" coordsize="21600,21600" o:spt="202" path="m,l,21600r21600,l21600,xe">
                <v:stroke joinstyle="miter"/>
                <v:path gradientshapeok="t" o:connecttype="rect"/>
              </v:shapetype>
              <v:shape id="Text Box 1" o:spid="_x0000_s1026" type="#_x0000_t202" style="position:absolute;margin-left:-15.8pt;margin-top:15.45pt;width:131.8pt;height:5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" fillcolor="window" stroked="f" strokeweight=".5pt">
                <v:textbox>
                  <w:txbxContent>
                    <w:p w14:paraId="28447D4E" w14:textId="77777777" w:rsidR="00F93008" w:rsidRDefault="00F93008" w:rsidP="00F93008">
                      <w:r w:rsidRPr="00E932A8">
                        <w:rPr>
                          <w:noProof/>
                        </w:rPr>
                        <w:drawing>
                          <wp:inline distT="0" distB="0" distL="0" distR="0" wp14:anchorId="04D441B3" wp14:editId="5DE93449">
                            <wp:extent cx="1506855" cy="601345"/>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6855" cy="601345"/>
                                    </a:xfrm>
                                    <a:prstGeom prst="rect">
                                      <a:avLst/>
                                    </a:prstGeom>
                                    <a:noFill/>
                                    <a:ln>
                                      <a:noFill/>
                                    </a:ln>
                                  </pic:spPr>
                                </pic:pic>
                              </a:graphicData>
                            </a:graphic>
                          </wp:inline>
                        </w:drawing>
                      </w:r>
                    </w:p>
                  </w:txbxContent>
                </v:textbox>
                <w10:wrap type="square"/>
              </v:shape>
            </w:pict>
          </mc:Fallback>
        </mc:AlternateContent>
      </w:r>
      <w:r w:rsidRPr="00F93008">
        <w:rPr>
          <w:rFonts w:ascii="Calibri" w:hAnsi="Calibri"/>
          <w:b/>
          <w:sz w:val="20"/>
          <w:szCs w:val="20"/>
          <w:u w:val="single"/>
        </w:rPr>
        <w:t xml:space="preserve">Psychologists (APA) </w:t>
      </w:r>
      <w:r w:rsidRPr="00F93008">
        <w:rPr>
          <w:rFonts w:ascii="Calibri" w:hAnsi="Calibri" w:cs="Calibri"/>
          <w:b/>
          <w:sz w:val="20"/>
          <w:szCs w:val="20"/>
          <w:u w:val="single"/>
        </w:rPr>
        <w:t>Credit Designation</w:t>
      </w:r>
    </w:p>
    <w:p w14:paraId="30F351AB" w14:textId="77777777" w:rsidR="00F93008" w:rsidRPr="00F93008" w:rsidRDefault="00F93008" w:rsidP="00F93008">
      <w:pPr>
        <w:rPr>
          <w:rFonts w:ascii="Calibri" w:hAnsi="Calibri" w:cs="Calibri"/>
          <w:sz w:val="20"/>
          <w:szCs w:val="20"/>
        </w:rPr>
      </w:pPr>
    </w:p>
    <w:p w14:paraId="0190E28B" w14:textId="6208A436" w:rsidR="00F93008" w:rsidRPr="00F93008" w:rsidRDefault="00F93008" w:rsidP="00F93008">
      <w:pPr>
        <w:rPr>
          <w:rFonts w:ascii="Calibri" w:hAnsi="Calibri" w:cs="Arial"/>
          <w:b/>
          <w:sz w:val="20"/>
          <w:szCs w:val="20"/>
        </w:rPr>
      </w:pPr>
      <w:r w:rsidRPr="00F93008">
        <w:rPr>
          <w:rFonts w:ascii="Calibri" w:hAnsi="Calibri" w:cs="Calibri"/>
          <w:sz w:val="20"/>
          <w:szCs w:val="20"/>
        </w:rPr>
        <w:t>T</w:t>
      </w:r>
      <w:r w:rsidRPr="00F93008">
        <w:rPr>
          <w:rFonts w:ascii="Calibri" w:hAnsi="Calibri" w:cs="Century Gothic"/>
          <w:sz w:val="20"/>
          <w:szCs w:val="20"/>
        </w:rPr>
        <w:t xml:space="preserve">his course is co-sponsored by Amedco and </w:t>
      </w:r>
      <w:r w:rsidRPr="00F93008">
        <w:rPr>
          <w:sz w:val="20"/>
          <w:szCs w:val="20"/>
        </w:rPr>
        <w:t>Boston University School of Medicine, Dept of Psychiatry (BUSM-PSY)</w:t>
      </w:r>
      <w:r w:rsidRPr="00F93008">
        <w:rPr>
          <w:rFonts w:ascii="Calibri" w:hAnsi="Calibri"/>
          <w:bCs/>
          <w:color w:val="000000"/>
          <w:sz w:val="20"/>
          <w:szCs w:val="20"/>
        </w:rPr>
        <w:t>.</w:t>
      </w:r>
      <w:r w:rsidRPr="00F93008">
        <w:rPr>
          <w:rFonts w:ascii="Calibri" w:hAnsi="Calibri" w:cs="Century Gothic"/>
          <w:sz w:val="20"/>
          <w:szCs w:val="20"/>
        </w:rPr>
        <w:t xml:space="preserve">  Amedco is approved by the American Psychological Association to sponsor continuing education for psychologists.  Amedco maintains responsibility for this program and its content.  </w:t>
      </w:r>
      <w:r w:rsidR="008D3C3A">
        <w:rPr>
          <w:rFonts w:ascii="Calibri" w:hAnsi="Calibri" w:cs="Calibri"/>
          <w:b/>
          <w:color w:val="000000" w:themeColor="text1"/>
          <w:sz w:val="20"/>
          <w:szCs w:val="20"/>
        </w:rPr>
        <w:t>5.5</w:t>
      </w:r>
      <w:r w:rsidRPr="00F93008">
        <w:rPr>
          <w:rFonts w:ascii="Calibri" w:hAnsi="Calibri" w:cs="Calibri"/>
          <w:b/>
          <w:color w:val="000000" w:themeColor="text1"/>
          <w:sz w:val="20"/>
          <w:szCs w:val="20"/>
        </w:rPr>
        <w:t xml:space="preserve"> </w:t>
      </w:r>
      <w:r w:rsidRPr="00F93008">
        <w:rPr>
          <w:rFonts w:ascii="Calibri" w:hAnsi="Calibri" w:cs="Century Gothic"/>
          <w:sz w:val="20"/>
          <w:szCs w:val="20"/>
        </w:rPr>
        <w:t>hours.</w:t>
      </w:r>
    </w:p>
    <w:p w14:paraId="2E4FA4AC" w14:textId="77777777" w:rsidR="00F93008" w:rsidRPr="00F93008" w:rsidRDefault="00F93008" w:rsidP="00F93008">
      <w:pPr>
        <w:ind w:left="360"/>
        <w:rPr>
          <w:rFonts w:ascii="Calibri" w:hAnsi="Calibri" w:cs="Arial"/>
          <w:b/>
          <w:sz w:val="20"/>
          <w:szCs w:val="20"/>
        </w:rPr>
      </w:pPr>
    </w:p>
    <w:p w14:paraId="406D1A7A" w14:textId="77777777" w:rsidR="00F93008" w:rsidRPr="00F93008" w:rsidRDefault="00F93008" w:rsidP="00F93008">
      <w:pPr>
        <w:ind w:left="360"/>
        <w:rPr>
          <w:rFonts w:ascii="Calibri" w:hAnsi="Calibri" w:cs="Arial"/>
          <w:sz w:val="18"/>
          <w:szCs w:val="18"/>
        </w:rPr>
      </w:pPr>
      <w:r w:rsidRPr="00F93008">
        <w:rPr>
          <w:rFonts w:ascii="Calibri" w:hAnsi="Calibri" w:cs="Arial"/>
          <w:b/>
          <w:sz w:val="18"/>
          <w:szCs w:val="18"/>
        </w:rPr>
        <w:t>The following state boards accept courses from APA providers for Counselors:</w:t>
      </w:r>
      <w:r w:rsidRPr="00F93008">
        <w:rPr>
          <w:rFonts w:ascii="Calibri" w:hAnsi="Calibri" w:cs="Arial"/>
          <w:sz w:val="18"/>
          <w:szCs w:val="18"/>
        </w:rPr>
        <w:t xml:space="preserve"> AK, AL, AR, AZ, CA, CO, CT, DC, DE, FL, GA, HI, IA, ID, IL, IN, KS, KY, MD, ME, MO, NC, ND, NH, NE, NJ, NM, NV, OK*, OR, PA, RI, SC, SD, TN, TX, UT, VA, WI, WY</w:t>
      </w:r>
    </w:p>
    <w:p w14:paraId="349D7DF2" w14:textId="77777777" w:rsidR="00F93008" w:rsidRPr="00F93008" w:rsidRDefault="00F93008" w:rsidP="00F93008">
      <w:pPr>
        <w:ind w:left="360"/>
        <w:rPr>
          <w:rFonts w:ascii="Calibri" w:hAnsi="Calibri" w:cs="Arial"/>
          <w:b/>
          <w:sz w:val="18"/>
          <w:szCs w:val="18"/>
        </w:rPr>
      </w:pPr>
      <w:r w:rsidRPr="00F93008">
        <w:rPr>
          <w:rFonts w:ascii="Calibri" w:hAnsi="Calibri" w:cs="Arial"/>
          <w:b/>
          <w:sz w:val="18"/>
          <w:szCs w:val="18"/>
        </w:rPr>
        <w:t>MI:</w:t>
      </w:r>
      <w:r w:rsidRPr="00F93008">
        <w:rPr>
          <w:rFonts w:ascii="Calibri" w:hAnsi="Calibri" w:cs="Arial"/>
          <w:sz w:val="18"/>
          <w:szCs w:val="18"/>
        </w:rPr>
        <w:t xml:space="preserve"> No CE requirements</w:t>
      </w:r>
    </w:p>
    <w:p w14:paraId="18F570F4" w14:textId="77777777" w:rsidR="00F93008" w:rsidRPr="00F93008" w:rsidRDefault="00F93008" w:rsidP="00F93008">
      <w:pPr>
        <w:ind w:left="360"/>
        <w:rPr>
          <w:rFonts w:ascii="Calibri" w:hAnsi="Calibri" w:cs="Arial"/>
          <w:sz w:val="18"/>
          <w:szCs w:val="18"/>
        </w:rPr>
      </w:pPr>
      <w:r w:rsidRPr="00F93008">
        <w:rPr>
          <w:rFonts w:ascii="Calibri" w:hAnsi="Calibri" w:cs="Arial"/>
          <w:b/>
          <w:sz w:val="18"/>
          <w:szCs w:val="18"/>
        </w:rPr>
        <w:t>The following state boards accept courses from APA providers for MFTs:</w:t>
      </w:r>
      <w:r w:rsidRPr="00F93008">
        <w:rPr>
          <w:rFonts w:ascii="Calibri" w:hAnsi="Calibri" w:cs="Arial"/>
          <w:sz w:val="18"/>
          <w:szCs w:val="18"/>
        </w:rPr>
        <w:t xml:space="preserve"> AK, AR, AZ, CA, CO, CT, DE, FL, GA, IA, ID, IN, KS, MD, ME, MO, NE, NC, NH, NJ, NM, NV, OK*, OR, PA, RI, SC, SD, TN, TX, UT, VA, WA, WI, WY</w:t>
      </w:r>
    </w:p>
    <w:p w14:paraId="1AFAF16C" w14:textId="77777777" w:rsidR="00F93008" w:rsidRPr="00F93008" w:rsidRDefault="00F93008" w:rsidP="00F93008">
      <w:pPr>
        <w:ind w:left="360"/>
        <w:rPr>
          <w:rFonts w:ascii="Calibri" w:hAnsi="Calibri" w:cs="Arial"/>
          <w:b/>
          <w:sz w:val="18"/>
          <w:szCs w:val="18"/>
        </w:rPr>
      </w:pPr>
      <w:r w:rsidRPr="00F93008">
        <w:rPr>
          <w:rFonts w:ascii="Calibri" w:hAnsi="Calibri" w:cs="Arial"/>
          <w:b/>
          <w:sz w:val="18"/>
          <w:szCs w:val="18"/>
        </w:rPr>
        <w:t xml:space="preserve">The following state boards accept courses from APA providers for Addictions Professionals: </w:t>
      </w:r>
      <w:r w:rsidRPr="00F93008">
        <w:rPr>
          <w:rFonts w:ascii="Calibri" w:hAnsi="Calibri" w:cs="Arial"/>
          <w:sz w:val="18"/>
          <w:szCs w:val="18"/>
        </w:rPr>
        <w:t>AK, AR, CO, CT, DC, DE, GA, IA, IN, KS, LA, MD, MO, MT, NC, ND, NE, NJ, NM, NY (outstate held), OK*, OR, SC, UT, WA, WI, WY</w:t>
      </w:r>
      <w:r w:rsidRPr="00F93008">
        <w:rPr>
          <w:rFonts w:ascii="Calibri" w:hAnsi="Calibri" w:cs="Arial"/>
          <w:b/>
          <w:sz w:val="18"/>
          <w:szCs w:val="18"/>
        </w:rPr>
        <w:t xml:space="preserve"> </w:t>
      </w:r>
      <w:r w:rsidRPr="00F93008">
        <w:rPr>
          <w:rFonts w:ascii="Calibri" w:hAnsi="Calibri" w:cs="Arial"/>
          <w:b/>
          <w:sz w:val="18"/>
          <w:szCs w:val="18"/>
        </w:rPr>
        <w:br/>
      </w:r>
      <w:r w:rsidRPr="00F93008">
        <w:rPr>
          <w:rFonts w:ascii="Calibri" w:hAnsi="Calibri" w:cs="Calibri"/>
          <w:b/>
          <w:bCs/>
          <w:sz w:val="18"/>
          <w:szCs w:val="18"/>
        </w:rPr>
        <w:t>* OK accepts APA credit for live, in-person activities. For all ethics and/or online courses, an application is required.</w:t>
      </w:r>
    </w:p>
    <w:p w14:paraId="280C793A" w14:textId="77777777" w:rsidR="00F93008" w:rsidRPr="00F93008" w:rsidRDefault="00F93008" w:rsidP="00F93008">
      <w:pPr>
        <w:ind w:left="360"/>
        <w:rPr>
          <w:rFonts w:ascii="Calibri" w:hAnsi="Calibri" w:cs="Arial"/>
          <w:sz w:val="18"/>
          <w:szCs w:val="18"/>
        </w:rPr>
      </w:pPr>
      <w:r w:rsidRPr="00F93008">
        <w:rPr>
          <w:rFonts w:ascii="Calibri" w:hAnsi="Calibri" w:cs="Arial"/>
          <w:b/>
          <w:sz w:val="18"/>
          <w:szCs w:val="18"/>
        </w:rPr>
        <w:t>MA / MFTs:</w:t>
      </w:r>
      <w:r w:rsidRPr="00F93008">
        <w:rPr>
          <w:rFonts w:ascii="Calibri" w:hAnsi="Calibri" w:cs="Arial"/>
          <w:sz w:val="18"/>
          <w:szCs w:val="18"/>
        </w:rPr>
        <w:t xml:space="preserve"> Participants can self-submit courses not approved by the MAMFT board for review. </w:t>
      </w:r>
    </w:p>
    <w:p w14:paraId="01937A5E" w14:textId="77777777" w:rsidR="00F93008" w:rsidRPr="00F93008" w:rsidRDefault="00F93008" w:rsidP="00F93008">
      <w:pPr>
        <w:ind w:left="360"/>
        <w:rPr>
          <w:rFonts w:ascii="Calibri" w:hAnsi="Calibri" w:cs="Arial"/>
          <w:sz w:val="18"/>
          <w:szCs w:val="18"/>
        </w:rPr>
      </w:pPr>
      <w:r w:rsidRPr="00F93008">
        <w:rPr>
          <w:rFonts w:ascii="Calibri" w:hAnsi="Calibri" w:cs="Arial"/>
          <w:b/>
          <w:sz w:val="18"/>
          <w:szCs w:val="18"/>
        </w:rPr>
        <w:t xml:space="preserve">The following state boards accept courses from APA providers for Social Workers: </w:t>
      </w:r>
      <w:r w:rsidRPr="00F93008">
        <w:rPr>
          <w:rFonts w:ascii="Calibri" w:hAnsi="Calibri" w:cs="Arial"/>
          <w:sz w:val="18"/>
          <w:szCs w:val="18"/>
        </w:rPr>
        <w:t>AK, AR, AZ, CA, CO, DE, FL, GA, ID, IN, KY, ME, MN, MO, NE, NH, NM, OR, PA, VT, WI, WY</w:t>
      </w:r>
    </w:p>
    <w:p w14:paraId="11CA28E4" w14:textId="77777777" w:rsidR="00F93008" w:rsidRPr="00F93008" w:rsidRDefault="00F93008" w:rsidP="00F93008">
      <w:pPr>
        <w:rPr>
          <w:rFonts w:ascii="Calibri" w:hAnsi="Calibri" w:cs="Calibri"/>
          <w:b/>
          <w:sz w:val="20"/>
          <w:szCs w:val="20"/>
          <w:u w:val="single"/>
        </w:rPr>
      </w:pPr>
    </w:p>
    <w:p w14:paraId="138F63E9" w14:textId="77777777" w:rsidR="00F93008" w:rsidRPr="00F93008" w:rsidRDefault="00F93008" w:rsidP="00F93008">
      <w:pPr>
        <w:rPr>
          <w:rFonts w:ascii="Calibri" w:hAnsi="Calibri" w:cs="Calibri"/>
          <w:b/>
          <w:sz w:val="20"/>
          <w:szCs w:val="20"/>
          <w:u w:val="single"/>
        </w:rPr>
      </w:pPr>
      <w:r w:rsidRPr="00F93008">
        <w:rPr>
          <w:rFonts w:ascii="Calibri" w:hAnsi="Calibri" w:cs="Calibri"/>
          <w:b/>
          <w:sz w:val="20"/>
          <w:szCs w:val="20"/>
          <w:u w:val="single"/>
        </w:rPr>
        <w:t>Social Workers (ASWB) Credit Designation</w:t>
      </w:r>
    </w:p>
    <w:p w14:paraId="7EF89FA5" w14:textId="46144BE1" w:rsidR="00F93008" w:rsidRPr="00F93008" w:rsidRDefault="00F93008" w:rsidP="00F93008">
      <w:pPr>
        <w:rPr>
          <w:rFonts w:ascii="Calibri" w:hAnsi="Calibri" w:cs="Calibri"/>
          <w:sz w:val="20"/>
          <w:szCs w:val="20"/>
        </w:rPr>
      </w:pPr>
      <w:r w:rsidRPr="00F93008">
        <w:rPr>
          <w:rFonts w:ascii="Calibri" w:hAnsi="Calibri" w:cs="Calibri"/>
          <w:noProof/>
          <w:sz w:val="20"/>
          <w:szCs w:val="20"/>
        </w:rPr>
        <w:drawing>
          <wp:anchor distT="0" distB="0" distL="114300" distR="114300" simplePos="0" relativeHeight="251661312" behindDoc="1" locked="0" layoutInCell="1" allowOverlap="1" wp14:anchorId="2D268F59" wp14:editId="3B562066">
            <wp:simplePos x="0" y="0"/>
            <wp:positionH relativeFrom="column">
              <wp:posOffset>0</wp:posOffset>
            </wp:positionH>
            <wp:positionV relativeFrom="paragraph">
              <wp:posOffset>34668</wp:posOffset>
            </wp:positionV>
            <wp:extent cx="1665605" cy="633730"/>
            <wp:effectExtent l="0" t="0" r="0" b="0"/>
            <wp:wrapTight wrapText="bothSides">
              <wp:wrapPolygon edited="0">
                <wp:start x="0" y="0"/>
                <wp:lineTo x="0" y="21210"/>
                <wp:lineTo x="21411" y="21210"/>
                <wp:lineTo x="21411" y="0"/>
                <wp:lineTo x="0" y="0"/>
              </wp:wrapPolygon>
            </wp:wrapTight>
            <wp:docPr id="12" name="Picture 12" descr="https://www.aswb.org/wp-content/uploads/2018/11/ACE-Logo-BLU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https://www.aswb.org/wp-content/uploads/2018/11/ACE-Logo-BLUE.jpg"/>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66560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008">
        <w:rPr>
          <w:rFonts w:ascii="Calibri" w:hAnsi="Calibri" w:cs="Calibri"/>
          <w:sz w:val="20"/>
          <w:szCs w:val="20"/>
        </w:rPr>
        <w:t xml:space="preserve">As a Jointly Accredited Organization, Amedco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Amedco maintains responsibility for this course. Social Workers completing this course receive </w:t>
      </w:r>
      <w:r w:rsidR="008D3C3A">
        <w:rPr>
          <w:rFonts w:ascii="Calibri" w:hAnsi="Calibri" w:cs="Calibri"/>
          <w:b/>
          <w:color w:val="000000" w:themeColor="text1"/>
          <w:sz w:val="20"/>
          <w:szCs w:val="20"/>
        </w:rPr>
        <w:t>5.5</w:t>
      </w:r>
      <w:r w:rsidRPr="00F93008">
        <w:rPr>
          <w:rFonts w:ascii="Calibri" w:hAnsi="Calibri" w:cs="Calibri"/>
          <w:sz w:val="20"/>
          <w:szCs w:val="20"/>
        </w:rPr>
        <w:t xml:space="preserve"> GENERAL continuing education credits.</w:t>
      </w:r>
    </w:p>
    <w:p w14:paraId="231175C4" w14:textId="77777777" w:rsidR="00F93008" w:rsidRPr="00F93008" w:rsidRDefault="00F93008" w:rsidP="00F93008">
      <w:pPr>
        <w:rPr>
          <w:rFonts w:ascii="Calibri" w:hAnsi="Calibri" w:cs="Calibri"/>
          <w:sz w:val="20"/>
          <w:szCs w:val="20"/>
        </w:rPr>
      </w:pPr>
    </w:p>
    <w:p w14:paraId="6FDFA2F6" w14:textId="77777777" w:rsidR="00F93008" w:rsidRPr="00F93008" w:rsidRDefault="00F93008" w:rsidP="00F93008">
      <w:pPr>
        <w:ind w:left="360" w:right="-180"/>
        <w:rPr>
          <w:rFonts w:ascii="Calibri" w:hAnsi="Calibri" w:cs="Calibri"/>
          <w:bCs/>
          <w:sz w:val="18"/>
          <w:szCs w:val="18"/>
        </w:rPr>
      </w:pPr>
      <w:r w:rsidRPr="00F93008">
        <w:rPr>
          <w:rFonts w:ascii="Calibri" w:hAnsi="Calibri" w:cs="Calibri"/>
          <w:b/>
          <w:sz w:val="18"/>
          <w:szCs w:val="18"/>
        </w:rPr>
        <w:t>The following state boards accept courses offering ASWB ACE credit for Social Workers:</w:t>
      </w:r>
      <w:r w:rsidRPr="00F93008">
        <w:rPr>
          <w:rFonts w:ascii="Calibri" w:hAnsi="Calibri" w:cs="Calibri"/>
          <w:sz w:val="18"/>
          <w:szCs w:val="18"/>
        </w:rPr>
        <w:t xml:space="preserve"> AK, AL, AR, AZ, CA, CO, CT, DC, DE, FL, GA, HI, ID, IL, IN, IA, KS, KY, LA, ME, MD, MA, MI, MN, MS, MO, MT, NC, ND, NE,  NH, NM, NV, OH, OK*, OR, PA, RI, SC, SD, TN, TX, UT, VT, VA, WA, WI, WV*, WY</w:t>
      </w:r>
      <w:r w:rsidRPr="00F93008">
        <w:rPr>
          <w:rFonts w:ascii="Calibri" w:hAnsi="Calibri" w:cs="Calibri"/>
          <w:bCs/>
          <w:sz w:val="18"/>
          <w:szCs w:val="18"/>
        </w:rPr>
        <w:t xml:space="preserve"> </w:t>
      </w:r>
    </w:p>
    <w:p w14:paraId="717BB17F" w14:textId="77777777" w:rsidR="00F93008" w:rsidRPr="00F93008" w:rsidRDefault="00F93008" w:rsidP="00F93008">
      <w:pPr>
        <w:ind w:left="360" w:right="-180"/>
        <w:rPr>
          <w:rFonts w:ascii="Calibri" w:hAnsi="Calibri" w:cs="Calibri"/>
          <w:b/>
          <w:bCs/>
          <w:sz w:val="18"/>
          <w:szCs w:val="18"/>
        </w:rPr>
      </w:pPr>
      <w:r w:rsidRPr="00F93008">
        <w:rPr>
          <w:rFonts w:ascii="Calibri" w:hAnsi="Calibri" w:cs="Calibri"/>
          <w:b/>
          <w:bCs/>
          <w:sz w:val="18"/>
          <w:szCs w:val="18"/>
        </w:rPr>
        <w:t>* WV accepts ASWB ACE unless activity is live in West Virginia, an application is required.</w:t>
      </w:r>
    </w:p>
    <w:p w14:paraId="31555856" w14:textId="77777777" w:rsidR="00F93008" w:rsidRPr="00F93008" w:rsidRDefault="00F93008" w:rsidP="00F93008">
      <w:pPr>
        <w:ind w:left="360"/>
        <w:rPr>
          <w:rFonts w:ascii="Calibri" w:hAnsi="Calibri" w:cs="Calibri"/>
          <w:sz w:val="18"/>
          <w:szCs w:val="18"/>
        </w:rPr>
      </w:pPr>
      <w:r w:rsidRPr="00F93008">
        <w:rPr>
          <w:rFonts w:ascii="Calibri" w:hAnsi="Calibri" w:cs="Calibri"/>
          <w:b/>
          <w:sz w:val="18"/>
          <w:szCs w:val="18"/>
        </w:rPr>
        <w:t>The following state boards accept courses offering ASWB ACE credit for Counselors:</w:t>
      </w:r>
      <w:r w:rsidRPr="00F93008">
        <w:rPr>
          <w:rFonts w:ascii="Calibri" w:hAnsi="Calibri" w:cs="Calibri"/>
          <w:sz w:val="18"/>
          <w:szCs w:val="18"/>
        </w:rPr>
        <w:t xml:space="preserve"> AK, AR, AZ, CA, CO, CT, DC, FL, GA, IA, ID, IL, IN, KS, MA, MD, ME, MO, ND, NE, NM, NH, NV, OK*, OR, PA, TN, TX, UT, VA, WI, WY</w:t>
      </w:r>
    </w:p>
    <w:p w14:paraId="322AB72E" w14:textId="77777777" w:rsidR="00F93008" w:rsidRPr="00F93008" w:rsidRDefault="00F93008" w:rsidP="00F93008">
      <w:pPr>
        <w:ind w:left="360"/>
        <w:rPr>
          <w:rFonts w:ascii="Calibri" w:hAnsi="Calibri" w:cs="Calibri"/>
          <w:sz w:val="18"/>
          <w:szCs w:val="18"/>
        </w:rPr>
      </w:pPr>
      <w:r w:rsidRPr="00F93008">
        <w:rPr>
          <w:rFonts w:ascii="Calibri" w:hAnsi="Calibri" w:cs="Calibri"/>
          <w:b/>
          <w:sz w:val="18"/>
          <w:szCs w:val="18"/>
        </w:rPr>
        <w:t>AL/Counselors: </w:t>
      </w:r>
      <w:r w:rsidRPr="00F93008">
        <w:rPr>
          <w:rFonts w:ascii="Calibri" w:hAnsi="Calibri" w:cs="Calibri"/>
          <w:sz w:val="18"/>
          <w:szCs w:val="18"/>
        </w:rPr>
        <w:t>Activities not providing NBCC approval may be approved by the Board for individual licensees upon receipt of acceptable documentation prior to the activity.  Please send course details to your licensing board for approval BEFORE the event.  No approvals afterward by the board.</w:t>
      </w:r>
    </w:p>
    <w:p w14:paraId="2BC234AE" w14:textId="77777777" w:rsidR="00F93008" w:rsidRPr="00F93008" w:rsidRDefault="00F93008" w:rsidP="00F93008">
      <w:pPr>
        <w:ind w:left="360"/>
        <w:rPr>
          <w:rFonts w:ascii="Calibri" w:hAnsi="Calibri" w:cs="Calibri"/>
          <w:b/>
          <w:bCs/>
          <w:sz w:val="18"/>
          <w:szCs w:val="18"/>
        </w:rPr>
      </w:pPr>
      <w:r w:rsidRPr="00F93008">
        <w:rPr>
          <w:rFonts w:ascii="Calibri" w:hAnsi="Calibri" w:cs="Calibri"/>
          <w:b/>
          <w:sz w:val="18"/>
          <w:szCs w:val="18"/>
        </w:rPr>
        <w:t>MI:</w:t>
      </w:r>
      <w:r w:rsidRPr="00F93008">
        <w:rPr>
          <w:rFonts w:ascii="Calibri" w:hAnsi="Calibri" w:cs="Calibri"/>
          <w:b/>
          <w:bCs/>
          <w:sz w:val="18"/>
          <w:szCs w:val="18"/>
        </w:rPr>
        <w:t xml:space="preserve"> </w:t>
      </w:r>
      <w:r w:rsidRPr="00F93008">
        <w:rPr>
          <w:rFonts w:ascii="Calibri" w:hAnsi="Calibri" w:cs="Calibri"/>
          <w:sz w:val="18"/>
          <w:szCs w:val="18"/>
        </w:rPr>
        <w:t>No CE requirement</w:t>
      </w:r>
    </w:p>
    <w:p w14:paraId="546BD04D" w14:textId="77777777" w:rsidR="00F93008" w:rsidRPr="00F93008" w:rsidRDefault="00F93008" w:rsidP="00F93008">
      <w:pPr>
        <w:ind w:left="360"/>
        <w:rPr>
          <w:rFonts w:ascii="Calibri" w:hAnsi="Calibri" w:cs="Calibri"/>
          <w:sz w:val="18"/>
          <w:szCs w:val="18"/>
        </w:rPr>
      </w:pPr>
      <w:r w:rsidRPr="00F93008">
        <w:rPr>
          <w:rFonts w:ascii="Calibri" w:hAnsi="Calibri" w:cs="Calibri"/>
          <w:b/>
          <w:sz w:val="18"/>
          <w:szCs w:val="18"/>
        </w:rPr>
        <w:t>The following state boards accept courses offering ASWB ACE credit for MFTs:</w:t>
      </w:r>
      <w:r w:rsidRPr="00F93008">
        <w:rPr>
          <w:rFonts w:ascii="Calibri" w:hAnsi="Calibri" w:cs="Calibri"/>
          <w:sz w:val="18"/>
          <w:szCs w:val="18"/>
        </w:rPr>
        <w:t xml:space="preserve"> AK, AR, AZ, CA, CO, FL, IA, ID, IN, KS, MD, ME, MO, NC, NE, NH, NM, NV, OK*, OR, PA, RI, TN, TX, UT, VA, WI, WY</w:t>
      </w:r>
    </w:p>
    <w:p w14:paraId="4722F2B0" w14:textId="77777777" w:rsidR="00F93008" w:rsidRPr="00F93008" w:rsidRDefault="00F93008" w:rsidP="00F93008">
      <w:pPr>
        <w:ind w:left="360"/>
        <w:rPr>
          <w:rFonts w:ascii="Calibri" w:hAnsi="Calibri" w:cs="Calibri"/>
          <w:sz w:val="18"/>
          <w:szCs w:val="18"/>
        </w:rPr>
      </w:pPr>
      <w:r w:rsidRPr="00F93008">
        <w:rPr>
          <w:rFonts w:ascii="Calibri" w:hAnsi="Calibri" w:cs="Calibri"/>
          <w:b/>
          <w:sz w:val="18"/>
          <w:szCs w:val="18"/>
        </w:rPr>
        <w:t>MA / MFTs:</w:t>
      </w:r>
      <w:r w:rsidRPr="00F93008">
        <w:rPr>
          <w:rFonts w:ascii="Calibri" w:hAnsi="Calibri" w:cs="Calibri"/>
          <w:sz w:val="18"/>
          <w:szCs w:val="18"/>
        </w:rPr>
        <w:t xml:space="preserve"> Participants can self-submit courses not approved by the MAMFT board for review. </w:t>
      </w:r>
    </w:p>
    <w:p w14:paraId="22C5262D" w14:textId="77777777" w:rsidR="00F93008" w:rsidRPr="00F93008" w:rsidRDefault="00F93008" w:rsidP="00F93008">
      <w:pPr>
        <w:ind w:left="360" w:right="-180"/>
        <w:rPr>
          <w:rFonts w:ascii="Calibri" w:hAnsi="Calibri" w:cs="Calibri"/>
          <w:b/>
          <w:bCs/>
          <w:sz w:val="18"/>
          <w:szCs w:val="18"/>
        </w:rPr>
      </w:pPr>
      <w:r w:rsidRPr="00F93008">
        <w:rPr>
          <w:rFonts w:ascii="Calibri" w:hAnsi="Calibri" w:cs="Calibri"/>
          <w:b/>
          <w:sz w:val="18"/>
          <w:szCs w:val="18"/>
        </w:rPr>
        <w:lastRenderedPageBreak/>
        <w:t>MI:</w:t>
      </w:r>
      <w:r w:rsidRPr="00F93008">
        <w:rPr>
          <w:rFonts w:ascii="Calibri" w:hAnsi="Calibri" w:cs="Calibri"/>
          <w:b/>
          <w:bCs/>
          <w:sz w:val="18"/>
          <w:szCs w:val="18"/>
        </w:rPr>
        <w:t xml:space="preserve"> </w:t>
      </w:r>
      <w:r w:rsidRPr="00F93008">
        <w:rPr>
          <w:rFonts w:ascii="Calibri" w:hAnsi="Calibri" w:cs="Calibri"/>
          <w:sz w:val="18"/>
          <w:szCs w:val="18"/>
        </w:rPr>
        <w:t>No CE requirement</w:t>
      </w:r>
      <w:r w:rsidRPr="00F93008">
        <w:rPr>
          <w:rFonts w:ascii="Calibri" w:hAnsi="Calibri" w:cs="Calibri"/>
          <w:sz w:val="18"/>
          <w:szCs w:val="18"/>
        </w:rPr>
        <w:br/>
      </w:r>
      <w:r w:rsidRPr="00F93008">
        <w:rPr>
          <w:rFonts w:ascii="Calibri" w:hAnsi="Calibri" w:cs="Calibri"/>
          <w:b/>
          <w:bCs/>
          <w:sz w:val="18"/>
          <w:szCs w:val="18"/>
        </w:rPr>
        <w:t>* OK accepts ASWB ACE for live, in-person activities. For all ethics and/or online courses, an application is required.</w:t>
      </w:r>
    </w:p>
    <w:p w14:paraId="005656D5" w14:textId="77777777" w:rsidR="00F93008" w:rsidRPr="00F93008" w:rsidRDefault="00F93008" w:rsidP="00F93008">
      <w:pPr>
        <w:widowControl w:val="0"/>
        <w:autoSpaceDE w:val="0"/>
        <w:autoSpaceDN w:val="0"/>
        <w:adjustRightInd w:val="0"/>
        <w:ind w:left="360"/>
        <w:rPr>
          <w:rFonts w:ascii="Calibri" w:hAnsi="Calibri" w:cs="Calibri"/>
          <w:sz w:val="18"/>
          <w:szCs w:val="18"/>
        </w:rPr>
      </w:pPr>
      <w:r w:rsidRPr="00F93008">
        <w:rPr>
          <w:rFonts w:ascii="Calibri" w:hAnsi="Calibri" w:cs="Calibri"/>
          <w:b/>
          <w:sz w:val="18"/>
          <w:szCs w:val="18"/>
        </w:rPr>
        <w:t xml:space="preserve">The following state boards accept courses offering ASWB ACE credit for Addictions Professionals: </w:t>
      </w:r>
      <w:r w:rsidRPr="00F93008">
        <w:rPr>
          <w:rFonts w:ascii="Calibri" w:hAnsi="Calibri" w:cs="Calibri"/>
          <w:sz w:val="18"/>
          <w:szCs w:val="18"/>
        </w:rPr>
        <w:t>AK, CA, CO, CT, GA, IA, IN, KS, LA, MO, MT, ND, NM, NV, OK, OR, SC, WA, WI, WV, WY</w:t>
      </w:r>
    </w:p>
    <w:sectPr w:rsidR="00F93008" w:rsidRPr="00F93008" w:rsidSect="008C7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0A"/>
    <w:rsid w:val="00130510"/>
    <w:rsid w:val="002307AC"/>
    <w:rsid w:val="00270A9E"/>
    <w:rsid w:val="002D1F61"/>
    <w:rsid w:val="005A3C53"/>
    <w:rsid w:val="007B4BF3"/>
    <w:rsid w:val="008C710A"/>
    <w:rsid w:val="008D3C3A"/>
    <w:rsid w:val="00BD32F0"/>
    <w:rsid w:val="00BD3DCE"/>
    <w:rsid w:val="00ED3871"/>
    <w:rsid w:val="00F9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9A057"/>
  <w15:chartTrackingRefBased/>
  <w15:docId w15:val="{6BF05318-A354-A94B-B4B5-E22A7426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8C7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aswb.org/wp-content/uploads/2018/11/ACE-Logo-BLUE.jp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Sandstrom</dc:creator>
  <cp:keywords/>
  <dc:description/>
  <cp:lastModifiedBy>Jada GIbbs</cp:lastModifiedBy>
  <cp:revision>2</cp:revision>
  <dcterms:created xsi:type="dcterms:W3CDTF">2022-03-30T00:51:00Z</dcterms:created>
  <dcterms:modified xsi:type="dcterms:W3CDTF">2022-03-30T00:51:00Z</dcterms:modified>
</cp:coreProperties>
</file>