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rsidR="00860F8B" w:rsidRDefault="00A71DD3">
      <w:pPr>
        <w:spacing w:after="240"/>
        <w:ind w:right="5220"/>
      </w:pPr>
      <w:r>
        <w:rPr>
          <w:noProof/>
        </w:rPr>
        <w:drawing>
          <wp:anchor distT="0" distB="0" distL="114300" distR="114300" simplePos="0" relativeHeight="251658240" behindDoc="0" locked="0" layoutInCell="1" allowOverlap="1">
            <wp:simplePos x="0" y="0"/>
            <wp:positionH relativeFrom="margin">
              <wp:posOffset>3086100</wp:posOffset>
            </wp:positionH>
            <wp:positionV relativeFrom="paragraph">
              <wp:posOffset>56000</wp:posOffset>
            </wp:positionV>
            <wp:extent cx="1737360" cy="330290"/>
            <wp:effectExtent l="0" t="0" r="0" b="0"/>
            <wp:wrapNone/>
            <wp:docPr id="1001" name="BMCHS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BMCHS Banner"/>
                    <pic:cNvPicPr/>
                  </pic:nvPicPr>
                  <pic:blipFill>
                    <a:blip r:embed="rId900"/>
                    <a:stretch>
                      <a:fillRect/>
                    </a:stretch>
                  </pic:blipFill>
                  <pic:spPr>
                    <a:xfrm>
                      <a:off x="0" y="0"/>
                      <a:ext cx="1737360" cy="330290"/>
                    </a:xfrm>
                    <a:prstGeom prst="rect">
                      <a:avLst/>
                    </a:prstGeom>
                  </pic:spPr>
                </pic:pic>
              </a:graphicData>
            </a:graphic>
          </wp:anchor>
        </w:drawing>
      </w:r>
      <w:r>
        <w:rPr>
          <w:noProof/>
        </w:rPr>
        <w:drawing>
          <wp:anchor distT="0" distB="0" distL="114300" distR="114300" simplePos="0" relativeHeight="251659264" behindDoc="0" locked="0" layoutInCell="1" allowOverlap="1">
            <wp:simplePos x="0" y="0"/>
            <wp:positionH relativeFrom="margin">
              <wp:posOffset>4914900</wp:posOffset>
            </wp:positionH>
            <wp:positionV relativeFrom="paragraph">
              <wp:posOffset>-12000</wp:posOffset>
            </wp:positionV>
            <wp:extent cx="1028700" cy="462915"/>
            <wp:effectExtent l="0" t="0" r="0" b="0"/>
            <wp:wrapNone/>
            <wp:docPr id="1002" name="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BU Logo"/>
                    <pic:cNvPicPr/>
                  </pic:nvPicPr>
                  <pic:blipFill>
                    <a:blip r:embed="rId901"/>
                    <a:stretch>
                      <a:fillRect/>
                    </a:stretch>
                  </pic:blipFill>
                  <pic:spPr>
                    <a:xfrm>
                      <a:off x="0" y="0"/>
                      <a:ext cx="1028700" cy="462915"/>
                    </a:xfrm>
                    <a:prstGeom prst="rect">
                      <a:avLst/>
                    </a:prstGeom>
                  </pic:spPr>
                </pic:pic>
              </a:graphicData>
            </a:graphic>
          </wp:anchor>
        </w:drawing>
      </w:r>
      <w:r>
        <w:rPr>
          <w:rFonts w:ascii="Times New Roman" w:hAnsi="Times New Roman" w:cs="Times New Roman"/>
          <w:smallCaps/>
          <w:sz w:val="15"/>
          <w:szCs w:val="15"/>
        </w:rPr>
        <w:t xml:space="preserve">Boston Medical </w:t>
      </w:r>
      <w:proofErr w:type="gramStart"/>
      <w:r>
        <w:rPr>
          <w:rFonts w:ascii="Times New Roman" w:hAnsi="Times New Roman" w:cs="Times New Roman"/>
          <w:smallCaps/>
          <w:sz w:val="15"/>
          <w:szCs w:val="15"/>
        </w:rPr>
        <w:t xml:space="preserve">Center  </w:t>
      </w:r>
      <w:r>
        <w:rPr>
          <w:rFonts w:ascii="Symbol" w:hAnsi="Symbol"/>
          <w:smallCaps/>
          <w:sz w:val="15"/>
          <w:szCs w:val="15"/>
        </w:rPr>
        <w:t></w:t>
      </w:r>
      <w:proofErr w:type="gramEnd"/>
      <w:r>
        <w:rPr>
          <w:rFonts w:ascii="Times New Roman" w:hAnsi="Times New Roman" w:cs="Times New Roman"/>
          <w:smallCaps/>
          <w:sz w:val="15"/>
          <w:szCs w:val="15"/>
        </w:rPr>
        <w:t xml:space="preserve">  Boston Medical Center – Brighton  </w:t>
      </w:r>
      <w:r>
        <w:rPr>
          <w:rFonts w:ascii="Symbol" w:hAnsi="Symbol"/>
          <w:smallCaps/>
          <w:sz w:val="15"/>
          <w:szCs w:val="15"/>
        </w:rPr>
        <w:t></w:t>
      </w:r>
      <w:r>
        <w:rPr>
          <w:rFonts w:ascii="Times New Roman" w:hAnsi="Times New Roman" w:cs="Times New Roman"/>
          <w:smallCaps/>
          <w:sz w:val="15"/>
          <w:szCs w:val="15"/>
        </w:rPr>
        <w:t xml:space="preserve">  Boston Medical Center – South  </w:t>
      </w:r>
      <w:r>
        <w:rPr>
          <w:rFonts w:ascii="Symbol" w:hAnsi="Symbol"/>
          <w:smallCaps/>
          <w:sz w:val="15"/>
          <w:szCs w:val="15"/>
        </w:rPr>
        <w:t></w:t>
      </w:r>
      <w:r>
        <w:rPr>
          <w:rFonts w:ascii="Times New Roman" w:hAnsi="Times New Roman" w:cs="Times New Roman"/>
          <w:smallCaps/>
          <w:sz w:val="15"/>
          <w:szCs w:val="15"/>
        </w:rPr>
        <w:t xml:space="preserve">  Chobanian &amp; Avedisian School of Medicine  </w:t>
      </w:r>
      <w:r>
        <w:rPr>
          <w:rFonts w:ascii="Symbol" w:hAnsi="Symbol"/>
          <w:smallCaps/>
          <w:sz w:val="15"/>
          <w:szCs w:val="15"/>
        </w:rPr>
        <w:t></w:t>
      </w:r>
      <w:r>
        <w:rPr>
          <w:rFonts w:ascii="Times New Roman" w:hAnsi="Times New Roman" w:cs="Times New Roman"/>
          <w:smallCaps/>
          <w:sz w:val="15"/>
          <w:szCs w:val="15"/>
        </w:rPr>
        <w:t xml:space="preserve">  School of Public Health  </w:t>
      </w:r>
      <w:r>
        <w:rPr>
          <w:rFonts w:ascii="Symbol" w:hAnsi="Symbol"/>
          <w:smallCaps/>
          <w:sz w:val="15"/>
          <w:szCs w:val="15"/>
        </w:rPr>
        <w:t></w:t>
      </w:r>
      <w:r>
        <w:rPr>
          <w:rFonts w:ascii="Times New Roman" w:hAnsi="Times New Roman" w:cs="Times New Roman"/>
          <w:smallCaps/>
          <w:sz w:val="15"/>
          <w:szCs w:val="15"/>
        </w:rPr>
        <w:t xml:space="preserve">  Goldman School of Dental Medicine</w:t>
      </w:r>
    </w:p>
    <w:p>
      <w:pPr>
        <w:pStyle w:val="Normal"/>
        <w:rPr/>
      </w:pPr>
      <w:r>
        <w:rPr/>
      </w:r>
    </w:p>
    <w:tbl>
      <w:tblPr>
        <w:tblW w:w="9330" w:type="dxa"/>
        <w:jc w:val="start"/>
        <w:tblInd w:w="0" w:type="dxa"/>
        <w:tblLayout w:type="fixed"/>
        <w:tblCellMar>
          <w:top w:w="0" w:type="dxa"/>
          <w:start w:w="108" w:type="dxa"/>
          <w:bottom w:w="0" w:type="dxa"/>
          <w:end w:w="108" w:type="dxa"/>
        </w:tblCellMar>
      </w:tblPr>
      <w:tblGrid>
        <w:gridCol w:w="9330"/>
      </w:tblGrid>
      <w:tr>
        <w:trPr/>
        <w:tc>
          <w:tcPr>
            <w:tcW w:w="9330" w:type="dxa"/>
            <w:tcBorders>
              <w:top w:val="double" w:sz="4" w:space="0" w:color="FF0000"/>
              <w:start w:val="double" w:sz="4" w:space="0" w:color="FF0000"/>
              <w:bottom w:val="double" w:sz="4" w:space="0" w:color="FF0000"/>
              <w:end w:val="double" w:sz="4" w:space="0" w:color="FF0000"/>
            </w:tcBorders>
          </w:tcPr>
          <w:p>
            <w:pPr>
              <w:pStyle w:val="Normal"/>
              <w:spacing w:before="0" w:after="0"/>
              <w:jc w:val="center"/>
              <w:rPr>
                <w:b/>
                <w:bCs/>
                <w:color w:val="FF0000"/>
              </w:rPr>
            </w:pPr>
            <w:r>
              <w:rPr>
                <w:b/>
                <w:bCs/>
                <w:color w:val="FF0000"/>
              </w:rPr>
              <w:t>Corrective and Preventative Action Plan (CAPA) - GENERAL INSTRUCTIONS</w:t>
            </w:r>
          </w:p>
          <w:p>
            <w:pPr>
              <w:pStyle w:val="Normal"/>
              <w:spacing w:before="0" w:after="0"/>
              <w:jc w:val="center"/>
              <w:rPr/>
            </w:pPr>
            <w:r>
              <w:rPr>
                <w:bCs/>
                <w:color w:val="FF0000"/>
              </w:rPr>
              <w:t>Version 2, 5/13/2022</w:t>
            </w:r>
            <w:r>
              <w:rPr>
                <w:b/>
                <w:bCs/>
                <w:color w:val="FF0000"/>
              </w:rPr>
              <w:t xml:space="preserve">                </w:t>
            </w:r>
          </w:p>
          <w:p>
            <w:pPr>
              <w:pStyle w:val="Normal"/>
              <w:spacing w:before="0" w:after="0"/>
              <w:jc w:val="center"/>
              <w:rPr>
                <w:bCs/>
                <w:color w:val="FF0000"/>
              </w:rPr>
            </w:pPr>
            <w:r>
              <w:rPr>
                <w:bCs/>
                <w:color w:val="FF0000"/>
              </w:rPr>
              <w:t>(Delete this box from the submitted CAPA plan)</w:t>
            </w:r>
          </w:p>
          <w:p>
            <w:pPr>
              <w:pStyle w:val="Normal"/>
              <w:spacing w:before="0" w:after="0"/>
              <w:jc w:val="center"/>
              <w:rPr>
                <w:b/>
                <w:bCs/>
                <w:color w:val="FF0000"/>
              </w:rPr>
            </w:pPr>
            <w:r>
              <w:rPr>
                <w:b/>
                <w:bCs/>
                <w:color w:val="FF0000"/>
              </w:rPr>
            </w:r>
          </w:p>
          <w:p>
            <w:pPr>
              <w:pStyle w:val="Normal"/>
              <w:rPr>
                <w:color w:val="FF0000"/>
              </w:rPr>
            </w:pPr>
            <w:r>
              <w:rPr>
                <w:color w:val="FF0000"/>
              </w:rPr>
              <w:t>As in any complex process, a research study can be considered a “quality system.”  It is essential to ensure quality at every step, and have a process in place to identify, correct, and prevent future occurrences that may affect the quality of the final “product.”  A Corrective and Preventative Action Plan (CAPA) is used for this purpose.  A successful CAPA can help protect the rights, safety and welfare of study participants and reliability of the data to answer the study question.  A CAPA should be submitted along with the Reportable Events and New Information (RENI) form in INSPIR for any major deviations and/or (if applicable) Unanticipated Problems (UPs) identified in the conduct of a study.</w:t>
            </w:r>
          </w:p>
          <w:p>
            <w:pPr>
              <w:pStyle w:val="Normal"/>
              <w:rPr/>
            </w:pPr>
            <w:r>
              <w:rPr>
                <w:color w:val="FF0000"/>
              </w:rPr>
              <w:t xml:space="preserve">Be specific in your proposed corrective/preventative actions.  For example, include dates for estimated or actual completion of actions.  Provide new written processes (new workflows or SOPs) that address the issues.  Describe who will take part in trainings for new processes, who will give the trainings, and what are the topics and content of the trainings.  </w:t>
            </w:r>
          </w:p>
          <w:p>
            <w:pPr>
              <w:pStyle w:val="Normal"/>
              <w:rPr/>
            </w:pPr>
            <w:r>
              <w:rPr>
                <w:color w:val="FF0000"/>
              </w:rPr>
              <w:t xml:space="preserve">Contact the </w:t>
            </w:r>
            <w:hyperlink r:id="rId2">
              <w:r>
                <w:rPr>
                  <w:rStyle w:val="Hyperlink"/>
                </w:rPr>
                <w:t>CRRO</w:t>
              </w:r>
            </w:hyperlink>
            <w:r>
              <w:rPr>
                <w:color w:val="FF0000"/>
              </w:rPr>
              <w:t xml:space="preserve"> if you would like to discuss your CAPA and/or have a review of your CAPA plan before you submit to the IRB.</w:t>
            </w:r>
          </w:p>
          <w:p>
            <w:pPr>
              <w:pStyle w:val="Normal"/>
              <w:rPr/>
            </w:pPr>
            <w:r>
              <w:rPr>
                <w:color w:val="FF0000"/>
              </w:rPr>
              <w:t xml:space="preserve">Please refer to this </w:t>
            </w:r>
            <w:hyperlink r:id="rId3">
              <w:r>
                <w:rPr>
                  <w:rStyle w:val="Hyperlink"/>
                </w:rPr>
                <w:t>CR TIMES article</w:t>
              </w:r>
            </w:hyperlink>
            <w:r>
              <w:rPr>
                <w:color w:val="FF0000"/>
              </w:rPr>
              <w:t xml:space="preserve"> and this </w:t>
            </w:r>
            <w:hyperlink r:id="rId4">
              <w:r>
                <w:rPr>
                  <w:rStyle w:val="Hyperlink"/>
                </w:rPr>
                <w:t>CRRO Presentation</w:t>
              </w:r>
            </w:hyperlink>
            <w:r>
              <w:rPr>
                <w:color w:val="FF0000"/>
              </w:rPr>
              <w:t xml:space="preserve"> for more information on successful CAPA development.</w:t>
            </w:r>
          </w:p>
          <w:p>
            <w:pPr>
              <w:pStyle w:val="Normal"/>
              <w:rPr/>
            </w:pPr>
            <w:r>
              <w:rPr>
                <w:color w:val="FF0000"/>
              </w:rPr>
              <w:t xml:space="preserve">See </w:t>
            </w:r>
            <w:hyperlink r:id="rId5">
              <w:r>
                <w:rPr>
                  <w:rStyle w:val="Hyperlink"/>
                </w:rPr>
                <w:t>CRRO website</w:t>
              </w:r>
            </w:hyperlink>
            <w:r>
              <w:rPr>
                <w:color w:val="FF0000"/>
              </w:rPr>
              <w:t xml:space="preserve"> for templates to assist you in documenting trainings and performing internal audits.</w:t>
            </w:r>
          </w:p>
          <w:p>
            <w:pPr>
              <w:pStyle w:val="Normal"/>
              <w:rPr/>
            </w:pPr>
            <w:r>
              <w:rPr>
                <w:color w:val="FF0000"/>
              </w:rPr>
              <w:t>Note that the most effective CAPAs are the result of a “team effort” and the analysis of the root cause(s) and determinations about how to best fix the issues should include the Principal Investigator and members of the study staff, not just one staff member.</w:t>
            </w:r>
          </w:p>
          <w:p>
            <w:pPr>
              <w:pStyle w:val="Normal"/>
              <w:rPr/>
            </w:pPr>
            <w:r>
              <w:rPr>
                <w:color w:val="FF0000"/>
              </w:rPr>
              <w:t>All steps of your CAPA implementation should be well-documented, so it is clear to the IRB and future auditors that the CAPA was implemented, its effectiveness assessed, and updates made if needed.</w:t>
            </w:r>
          </w:p>
          <w:p>
            <w:pPr>
              <w:pStyle w:val="Normal"/>
              <w:rPr>
                <w:color w:val="FF0000"/>
              </w:rPr>
            </w:pPr>
            <w:r>
              <w:rPr>
                <w:color w:val="FF0000"/>
              </w:rPr>
              <w:t>Use this template to create a Corrective and Preventative Action plan for your study as follows:</w:t>
            </w:r>
          </w:p>
          <w:p>
            <w:pPr>
              <w:pStyle w:val="ListParagraph"/>
              <w:numPr>
                <w:ilvl w:val="0"/>
                <w:numId w:val="1"/>
              </w:numPr>
              <w:rPr>
                <w:color w:val="FF0000"/>
              </w:rPr>
            </w:pPr>
            <w:r>
              <w:rPr>
                <w:color w:val="FF0000"/>
              </w:rPr>
              <w:t>Red text represents instructions to you – to be deleted from the final version. For example, when a section starts with “[Include if…],” you should read the red bracketed phrase, and either delete the whole section if not applicable to your study, or delete just the red bracketed phrase and retain the sentence if applicable to your study.</w:t>
            </w:r>
          </w:p>
          <w:p>
            <w:pPr>
              <w:pStyle w:val="ListParagraph"/>
              <w:numPr>
                <w:ilvl w:val="0"/>
                <w:numId w:val="1"/>
              </w:numPr>
              <w:rPr>
                <w:color w:val="FF0000"/>
              </w:rPr>
            </w:pPr>
            <w:r>
              <w:rPr>
                <w:color w:val="0000FF"/>
              </w:rPr>
              <w:t xml:space="preserve">Blue text </w:t>
            </w:r>
            <w:r>
              <w:rPr>
                <w:color w:val="FF0000"/>
              </w:rPr>
              <w:t xml:space="preserve">represents guidance on suggested content – to be edited and changed to </w:t>
            </w:r>
            <w:r>
              <w:rPr/>
              <w:t>black</w:t>
            </w:r>
            <w:r>
              <w:rPr>
                <w:color w:val="FF0000"/>
              </w:rPr>
              <w:t xml:space="preserve"> or replaced with </w:t>
            </w:r>
            <w:r>
              <w:rPr/>
              <w:t>black</w:t>
            </w:r>
            <w:r>
              <w:rPr>
                <w:color w:val="FF0000"/>
              </w:rPr>
              <w:t xml:space="preserve"> in the final version. </w:t>
            </w:r>
          </w:p>
          <w:p>
            <w:pPr>
              <w:pStyle w:val="ListParagraph"/>
              <w:numPr>
                <w:ilvl w:val="0"/>
                <w:numId w:val="1"/>
              </w:numPr>
              <w:rPr>
                <w:color w:val="FF0000"/>
              </w:rPr>
            </w:pPr>
            <w:r>
              <w:rPr/>
              <w:t xml:space="preserve">Black text </w:t>
            </w:r>
            <w:r>
              <w:rPr>
                <w:color w:val="FF0000"/>
              </w:rPr>
              <w:t xml:space="preserve">represents section headings that should ordinarily be incorporated as-is, if applicable. </w:t>
            </w:r>
          </w:p>
          <w:p>
            <w:pPr>
              <w:pStyle w:val="ListParagraph"/>
              <w:rPr>
                <w:color w:val="FF0000"/>
              </w:rPr>
            </w:pPr>
            <w:r>
              <w:rPr>
                <w:color w:val="FF0000"/>
              </w:rPr>
            </w:r>
          </w:p>
          <w:p>
            <w:pPr>
              <w:pStyle w:val="Normal"/>
              <w:spacing w:before="0" w:after="160"/>
              <w:rPr>
                <w:bCs/>
                <w:color w:val="FF0000"/>
              </w:rPr>
            </w:pPr>
            <w:r>
              <w:rPr>
                <w:color w:val="FF0000"/>
              </w:rPr>
              <w:t>The submitted version should have no red or blue text (including instruction boxes like this one).</w:t>
            </w:r>
          </w:p>
        </w:tc>
      </w:tr>
    </w:tbl>
    <w:p>
      <w:pPr>
        <w:pStyle w:val="Normal"/>
        <w:jc w:val="center"/>
        <w:rPr>
          <w:rFonts w:cs="Tahoma"/>
          <w:b/>
          <w:sz w:val="24"/>
          <w:szCs w:val="24"/>
        </w:rPr>
      </w:pPr>
      <w:r>
        <w:rPr>
          <w:rFonts w:cs="Tahoma"/>
          <w:b/>
          <w:sz w:val="24"/>
          <w:szCs w:val="24"/>
        </w:rPr>
      </w:r>
    </w:p>
    <w:p>
      <w:pPr>
        <w:pStyle w:val="Normal"/>
        <w:rPr>
          <w:rFonts w:cs="Tahoma"/>
          <w:b/>
          <w:sz w:val="24"/>
          <w:szCs w:val="24"/>
        </w:rPr>
      </w:pPr>
      <w:r>
        <w:rPr>
          <w:rFonts w:cs="Tahoma"/>
          <w:b/>
          <w:sz w:val="24"/>
          <w:szCs w:val="24"/>
        </w:rPr>
      </w:r>
    </w:p>
    <w:p>
      <w:pPr>
        <w:pStyle w:val="Normal"/>
        <w:jc w:val="center"/>
        <w:rPr/>
      </w:pPr>
      <w:r>
        <w:rPr>
          <w:b/>
        </w:rPr>
        <w:t>Corrective and Preventative Action Plan (CAPA Plan)</w:t>
      </w:r>
    </w:p>
    <w:p>
      <w:pPr>
        <w:pStyle w:val="Normal"/>
        <w:rPr>
          <w:b/>
        </w:rPr>
      </w:pPr>
      <w:r>
        <w:rPr/>
        <w:t xml:space="preserve">Title of Project: </w:t>
      </w:r>
      <w:r>
        <w:rPr>
          <w:color w:val="0000FF"/>
        </w:rPr>
        <w:t>Title</w:t>
      </w:r>
    </w:p>
    <w:p>
      <w:pPr>
        <w:pStyle w:val="Normal"/>
        <w:rPr>
          <w:color w:val="0000FF"/>
        </w:rPr>
      </w:pPr>
      <w:r>
        <w:rPr/>
        <w:t xml:space="preserve">IRB Number: </w:t>
      </w:r>
      <w:r>
        <w:rPr>
          <w:color w:val="0000FF"/>
        </w:rPr>
        <w:t>the “H number” of your submission</w:t>
      </w:r>
    </w:p>
    <w:p>
      <w:pPr>
        <w:pStyle w:val="Normal"/>
        <w:rPr/>
      </w:pPr>
      <w:r>
        <w:rPr/>
        <w:t xml:space="preserve">Principal Investigator: </w:t>
      </w:r>
      <w:r>
        <w:rPr>
          <w:color w:val="0000FF"/>
        </w:rPr>
        <w:t>PI name</w:t>
      </w:r>
    </w:p>
    <w:p>
      <w:pPr>
        <w:pStyle w:val="Normal"/>
        <w:rPr>
          <w:color w:val="0000FF"/>
        </w:rPr>
      </w:pPr>
      <w:r>
        <w:rPr/>
        <w:t xml:space="preserve">Version Number: </w:t>
      </w:r>
      <w:r>
        <w:rPr>
          <w:color w:val="0000FF"/>
        </w:rPr>
        <w:t>Complete</w:t>
      </w:r>
    </w:p>
    <w:p>
      <w:pPr>
        <w:pStyle w:val="Normal"/>
        <w:rPr>
          <w:color w:val="0000FF"/>
        </w:rPr>
      </w:pPr>
      <w:r>
        <w:rPr/>
        <w:t xml:space="preserve">Version Date: </w:t>
      </w:r>
      <w:r>
        <w:rPr>
          <w:color w:val="0000FF"/>
        </w:rPr>
        <w:t>Date CAPA is written</w:t>
      </w:r>
    </w:p>
    <w:p>
      <w:pPr>
        <w:pStyle w:val="Normal"/>
        <w:rPr>
          <w:color w:val="0000FF"/>
        </w:rPr>
      </w:pPr>
      <w:r>
        <w:rPr>
          <w:b/>
        </w:rPr>
        <w:t>I. Description of the Problem(s)</w:t>
      </w:r>
    </w:p>
    <w:p>
      <w:pPr>
        <w:pStyle w:val="Normal"/>
        <w:rPr>
          <w:color w:val="0000FF"/>
        </w:rPr>
      </w:pPr>
      <w:r>
        <w:rPr>
          <w:color w:val="0000FF"/>
        </w:rPr>
        <w:t>Explain what happened. Do not include any information that would identify subjects. Provide a narrative of events (including a timeline with dates, as applicable) and include an analysis of the extent of the problem, such as the number of subjects impacted, whether any subjects were actually harmed, and the number of subjects potentially harmed. If there are multiple problems, describe each one under a separate sub-heading. Provide details about whether the problem could extend beyond this study, if other protocols follow similar processes and share staff from the current protocol. If so, identify those studies and your plan for assessing similar problems and applying this CAPA to those studies as-needed.</w:t>
      </w:r>
    </w:p>
    <w:p>
      <w:pPr>
        <w:pStyle w:val="Normal"/>
        <w:spacing w:before="0" w:after="240"/>
        <w:rPr>
          <w:b/>
        </w:rPr>
      </w:pPr>
      <w:r>
        <w:rPr>
          <w:b/>
        </w:rPr>
        <w:t>II. Causes of the Problem(s)</w:t>
      </w:r>
    </w:p>
    <w:p>
      <w:pPr>
        <w:pStyle w:val="Normal"/>
        <w:rPr>
          <w:color w:val="0000FF"/>
        </w:rPr>
      </w:pPr>
      <w:r>
        <w:rPr>
          <w:color w:val="0000FF"/>
        </w:rPr>
        <w:t>Explain how and why the problem occurred. Describe the method of investigation. Note that there are often multiple levels of causes to a single problem, and it is important to determine all possible points of process failures. Be sure to determine root cause(s) by using “</w:t>
      </w:r>
      <w:hyperlink r:id="rId6">
        <w:r>
          <w:rPr>
            <w:rStyle w:val="Hyperlink"/>
            <w:color w:val="0000FF"/>
          </w:rPr>
          <w:t>5-Whys</w:t>
        </w:r>
      </w:hyperlink>
      <w:r>
        <w:rPr>
          <w:color w:val="0000FF"/>
        </w:rPr>
        <w:t xml:space="preserve">”, </w:t>
      </w:r>
      <w:hyperlink r:id="rId7">
        <w:r>
          <w:rPr>
            <w:rStyle w:val="Hyperlink"/>
            <w:color w:val="0000FF"/>
          </w:rPr>
          <w:t>Ishikawa diagram</w:t>
        </w:r>
      </w:hyperlink>
      <w:r>
        <w:rPr>
          <w:color w:val="0000FF"/>
        </w:rPr>
        <w:t>, or a similar method(s).  This will help determine appropriate corrective and preventative actions. If you determine that there are multiple root causes, explicitly state each under separate sub-headings.</w:t>
      </w:r>
    </w:p>
    <w:p>
      <w:pPr>
        <w:pStyle w:val="Normal"/>
        <w:rPr>
          <w:color w:val="0000FF"/>
        </w:rPr>
      </w:pPr>
      <w:r>
        <w:rPr>
          <w:b/>
        </w:rPr>
        <w:t>III. Corrective and Preventative Actions</w:t>
      </w:r>
    </w:p>
    <w:p>
      <w:pPr>
        <w:pStyle w:val="ListParagraph"/>
        <w:ind w:start="0" w:end="0"/>
        <w:rPr>
          <w:b/>
        </w:rPr>
      </w:pPr>
      <w:r>
        <w:rPr>
          <w:rFonts w:cs="Tahoma"/>
          <w:color w:val="FF0000"/>
        </w:rPr>
        <w:t>[Include if any corrective actions have already been taken; otherwise explain why no corrective actions were needed]</w:t>
      </w:r>
    </w:p>
    <w:p>
      <w:pPr>
        <w:pStyle w:val="ListParagraph"/>
        <w:ind w:start="0" w:end="0"/>
        <w:rPr>
          <w:b/>
        </w:rPr>
      </w:pPr>
      <w:r>
        <w:rPr>
          <w:b/>
        </w:rPr>
        <w:t>Corrective Actions: What did you do to correct the immediate problem?</w:t>
      </w:r>
    </w:p>
    <w:p>
      <w:pPr>
        <w:pStyle w:val="ListParagraph"/>
        <w:ind w:start="0" w:end="0"/>
        <w:rPr>
          <w:b/>
          <w:color w:val="0000FF"/>
        </w:rPr>
      </w:pPr>
      <w:r>
        <w:rPr>
          <w:b/>
          <w:color w:val="0000FF"/>
        </w:rPr>
      </w:r>
    </w:p>
    <w:p>
      <w:pPr>
        <w:pStyle w:val="ListParagraph"/>
        <w:ind w:start="0" w:end="0"/>
        <w:rPr>
          <w:b/>
        </w:rPr>
      </w:pPr>
      <w:r>
        <w:rPr>
          <w:color w:val="0000FF"/>
        </w:rPr>
        <w:t xml:space="preserve">Describe the immediate actions you implemented to correct the problem. </w:t>
      </w:r>
    </w:p>
    <w:p>
      <w:pPr>
        <w:pStyle w:val="ListParagraph"/>
        <w:ind w:start="0" w:end="0"/>
        <w:rPr>
          <w:b/>
          <w:color w:val="FF0000"/>
        </w:rPr>
      </w:pPr>
      <w:r>
        <w:rPr>
          <w:b/>
          <w:color w:val="FF0000"/>
        </w:rPr>
      </w:r>
    </w:p>
    <w:p>
      <w:pPr>
        <w:pStyle w:val="ListParagraph"/>
        <w:ind w:start="0" w:end="0"/>
        <w:rPr>
          <w:b/>
        </w:rPr>
      </w:pPr>
      <w:r>
        <w:rPr>
          <w:b/>
        </w:rPr>
        <w:t>Preventative Actions: What new processes are you putting in place to prevent the problem(s) from occurring in the future?</w:t>
      </w:r>
    </w:p>
    <w:p>
      <w:pPr>
        <w:pStyle w:val="ListParagraph"/>
        <w:ind w:start="0" w:end="0"/>
        <w:rPr>
          <w:b/>
        </w:rPr>
      </w:pPr>
      <w:r>
        <w:rPr>
          <w:b/>
        </w:rPr>
      </w:r>
    </w:p>
    <w:p>
      <w:pPr>
        <w:pStyle w:val="ListParagraph"/>
        <w:ind w:start="0" w:end="0"/>
        <w:rPr>
          <w:color w:val="0000FF"/>
        </w:rPr>
      </w:pPr>
      <w:r>
        <w:rPr>
          <w:color w:val="0000FF"/>
        </w:rPr>
        <w:t>Be specific: who, what, when, where, how.  To be effective, most CAPAs will include some new procedures/processes/workflows. These should be documented in this section and any relevant documents (e.g., checklist, training logs, SOPs) should be attached to your RENI submission. Note that if you are making any changes to the study application/protocol/consent form(s) or other study materials, you must also submit them to the IRB in a separate amendment. The majority of effective CAPAs also include training to the new procedures/processes/workflows.  As applicable, provide details on who will be trained, date(s) of training(s), who will lead the training(s), and how the trainings will be conducted (self-training, group-training, etc.).  Be sure to document all of the above in a training log.</w:t>
      </w:r>
    </w:p>
    <w:p>
      <w:pPr>
        <w:pStyle w:val="ListParagraph"/>
        <w:ind w:start="0" w:end="0"/>
        <w:rPr>
          <w:color w:val="FF0000"/>
        </w:rPr>
      </w:pPr>
      <w:r>
        <w:rPr>
          <w:color w:val="FF0000"/>
        </w:rPr>
      </w:r>
    </w:p>
    <w:p>
      <w:pPr>
        <w:pStyle w:val="ListParagraph"/>
        <w:ind w:start="0" w:end="0"/>
        <w:rPr>
          <w:b/>
        </w:rPr>
      </w:pPr>
      <w:r>
        <w:rPr>
          <w:b/>
        </w:rPr>
        <w:t>Provide information on any reporting requirements outside of the BMC and BU Medical Campus IRB, if applicable (to the sponsor, lead site, FDA, funder, etc.)</w:t>
      </w:r>
    </w:p>
    <w:p>
      <w:pPr>
        <w:pStyle w:val="ListParagraph"/>
        <w:ind w:start="0" w:end="0"/>
        <w:rPr>
          <w:b/>
        </w:rPr>
      </w:pPr>
      <w:r>
        <w:rPr>
          <w:b/>
        </w:rPr>
      </w:r>
    </w:p>
    <w:p>
      <w:pPr>
        <w:pStyle w:val="ListParagraph"/>
        <w:ind w:start="0" w:end="0"/>
        <w:rPr>
          <w:b/>
          <w:color w:val="0000FF"/>
        </w:rPr>
      </w:pPr>
      <w:r>
        <w:rPr>
          <w:color w:val="0000FF"/>
        </w:rPr>
        <w:t>Provide details on additional required reporting, or, if there are no additional reporting requirements, state: “Not applicable.”</w:t>
        <w:br/>
      </w:r>
    </w:p>
    <w:p>
      <w:pPr>
        <w:pStyle w:val="Normal"/>
        <w:rPr>
          <w:b/>
        </w:rPr>
      </w:pPr>
      <w:r>
        <w:rPr>
          <w:b/>
        </w:rPr>
        <w:t>IV. Evaluation of CAPA</w:t>
      </w:r>
    </w:p>
    <w:p>
      <w:pPr>
        <w:pStyle w:val="Normal"/>
        <w:rPr>
          <w:color w:val="0000FF"/>
        </w:rPr>
      </w:pPr>
      <w:r>
        <w:rPr>
          <w:color w:val="0000FF"/>
        </w:rPr>
        <w:t xml:space="preserve">Detail your plan for evaluating how effectively your CAPA corrected the problem and whether it will be successful at preventing future occurrences.  This could be in the form of an internal audit to assess compliance to the CAPA and whether new events have occurred, conducted by members of the study team and/or by the </w:t>
      </w:r>
      <w:hyperlink r:id="rId8">
        <w:r>
          <w:rPr>
            <w:rStyle w:val="Hyperlink"/>
            <w:color w:val="0000FF"/>
          </w:rPr>
          <w:t>OHRA QA team on request</w:t>
        </w:r>
      </w:hyperlink>
      <w:r>
        <w:rPr>
          <w:color w:val="0000FF"/>
        </w:rPr>
        <w:t>.  Be sure to detail when your evaluation will take place, what will be evaluated, and who will perform the evaluation.  If the evaluation shows that the CAPA did not resolve the problem, include your plan for notifying the IRB (such as submitting a new Reportable Event and New Information form (RENI) if noncompliance reoccurs) and updating your CAPA. Your CAPA evaluation(s) should be well-documented and maintained in your regulatory files.</w:t>
      </w:r>
    </w:p>
    <w:p>
      <w:pPr>
        <w:pStyle w:val="Normal"/>
        <w:rPr>
          <w:color w:val="0000FF"/>
        </w:rPr>
      </w:pPr>
      <w:r>
        <w:rPr>
          <w:color w:val="0000FF"/>
        </w:rPr>
      </w:r>
    </w:p>
    <w:p>
      <w:pPr>
        <w:pStyle w:val="Normal"/>
        <w:spacing w:before="0" w:after="160"/>
        <w:rPr/>
      </w:pPr>
      <w:r>
        <w:rPr/>
      </w:r>
    </w:p>
    <w:sectPr>
      <w:type w:val="nextPage"/>
      <w:pgSz w:w="12240" w:h="15840"/>
      <w:pgMar w:left="1440" w:right="1440" w:gutter="0" w:header="0" w:top="72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libri">
    <w:charset w:val="00" w:characterSet="windows-1252"/>
    <w:family w:val="swiss"/>
    <w:pitch w:val="variable"/>
  </w:font>
  <w:font w:name="Courier New">
    <w:charset w:val="00" w:characterSet="windows-1252"/>
    <w:family w:val="modern"/>
    <w:pitch w:val="default"/>
  </w:font>
  <w:font w:name="Wingdings">
    <w:charset w:val="02"/>
    <w:family w:val="auto"/>
    <w:pitch w:val="variable"/>
  </w:font>
  <w:font w:name="Segoe UI">
    <w:charset w:val="00" w:characterSet="windows-1252"/>
    <w:family w:val="swiss"/>
    <w:pitch w:val="variable"/>
  </w:font>
  <w:font w:name="Liberation Sans">
    <w:altName w:val="Arial"/>
    <w:charset w:val="00" w:characterSet="iso-8859-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56" w:before="0" w:after="160"/>
    </w:pPr>
    <w:rPr>
      <w:rFonts w:ascii="Calibri" w:hAnsi="Calibri" w:eastAsia="Calibri" w:cs="Times New Roman"/>
      <w:color w:val="auto"/>
      <w:sz w:val="22"/>
      <w:szCs w:val="22"/>
      <w:lang w:val="en-US" w:bidi="ar-SA" w:eastAsia="zh-CN"/>
    </w:rPr>
  </w:style>
  <w:style w:type="character" w:styleId="WW8Num1z0">
    <w:name w:val="WW8Num1z0"/>
    <w:qFormat/>
    <w:rPr>
      <w:rFonts w:ascii="Calibri" w:hAnsi="Calibri" w:eastAsia="Calibri" w:cs="Calibri"/>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cs="Times New Roman"/>
      <w:b/>
      <w:i w:val="false"/>
    </w:rPr>
  </w:style>
  <w:style w:type="character" w:styleId="WW8Num3z0">
    <w:name w:val="WW8Num3z0"/>
    <w:qFormat/>
    <w:rPr>
      <w:rFonts w:cs="Times New Roman"/>
      <w:b/>
      <w:i w:val="false"/>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DefaultParagraphFont">
    <w:name w:val="Default Paragraph Font"/>
    <w:qFormat/>
    <w:rPr/>
  </w:style>
  <w:style w:type="character" w:styleId="Hyperlink">
    <w:name w:val="Hyperlink"/>
    <w:rPr>
      <w:color w:val="0563C1"/>
      <w:u w:val="single"/>
    </w:rPr>
  </w:style>
  <w:style w:type="character" w:styleId="BalloonTextChar">
    <w:name w:val="Balloon Text Char"/>
    <w:qFormat/>
    <w:rPr>
      <w:rFonts w:ascii="Segoe UI" w:hAnsi="Segoe UI" w:cs="Segoe UI"/>
      <w:sz w:val="18"/>
      <w:szCs w:val="18"/>
    </w:rPr>
  </w:style>
  <w:style w:type="character" w:styleId="FollowedHyperlink">
    <w:name w:val="FollowedHyperlink"/>
    <w:rPr>
      <w:color w:val="954F72"/>
      <w:u w:val="single"/>
    </w:rPr>
  </w:style>
  <w:style w:type="character" w:styleId="DefaultChar">
    <w:name w:val="Default Char"/>
    <w:qFormat/>
    <w:rPr>
      <w:rFonts w:ascii="Arial" w:hAnsi="Arial" w:eastAsia="Times New Roman" w:cs="Arial"/>
      <w:color w:val="000000"/>
      <w:sz w:val="24"/>
      <w:szCs w:val="24"/>
    </w:rPr>
  </w:style>
  <w:style w:type="character" w:styleId="UnresolvedMention">
    <w:name w:val="Unresolved Mention"/>
    <w:qFormat/>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qFormat/>
    <w:pPr>
      <w:spacing w:lineRule="auto" w:line="240" w:before="0" w:after="0"/>
      <w:ind w:hanging="0" w:start="720" w:end="0"/>
      <w:contextualSpacing/>
    </w:pPr>
    <w:rPr>
      <w:rFonts w:ascii="Calibri" w:hAnsi="Calibri" w:eastAsia="Calibri" w:cs="Times New Roman"/>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Default">
    <w:name w:val="Default"/>
    <w:qFormat/>
    <w:pPr>
      <w:widowControl w:val="false"/>
      <w:autoSpaceDE w:val="false"/>
      <w:bidi w:val="0"/>
    </w:pPr>
    <w:rPr>
      <w:rFonts w:ascii="Arial" w:hAnsi="Arial" w:eastAsia="Times New Roman" w:cs="Arial"/>
      <w:color w:val="000000"/>
      <w:sz w:val="24"/>
      <w:szCs w:val="24"/>
      <w:lang w:val="en-US" w:bidi="ar-SA" w:eastAsia="zh-CN"/>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bumc.bu.edu/crro/" TargetMode="External"/><Relationship Id="rId3" Type="http://schemas.openxmlformats.org/officeDocument/2006/relationships/hyperlink" Target="https://wwwapp.bumc.bu.edu/ocr/ClinicalResearchNewsletter/article.aspx?article=349" TargetMode="External"/><Relationship Id="rId4" Type="http://schemas.openxmlformats.org/officeDocument/2006/relationships/hyperlink" Target="https://www.bumc.bu.edu/crro/files/2019/06/June-2019-RPN-Workshop-CAPAs.pdf" TargetMode="External"/><Relationship Id="rId5" Type="http://schemas.openxmlformats.org/officeDocument/2006/relationships/hyperlink" Target="https://www.bumc.bu.edu/crro/tools/" TargetMode="External"/><Relationship Id="rId6" Type="http://schemas.openxmlformats.org/officeDocument/2006/relationships/hyperlink" Target="https://en.wikipedia.org/wiki/Five_whys" TargetMode="External"/><Relationship Id="rId7" Type="http://schemas.openxmlformats.org/officeDocument/2006/relationships/hyperlink" Target="https://asq.org/quality-resources/fishbone" TargetMode="External"/><Relationship Id="rId8" Type="http://schemas.openxmlformats.org/officeDocument/2006/relationships/hyperlink" Target="https://www.bumc.bu.edu/ohra/audits-for-research-oversight/" TargetMode="Externa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 Id="rId900" Type="http://schemas.openxmlformats.org/officeDocument/2006/relationships/image" Target="media/image_mast1.jpeg"/><Relationship Id="rId901" Type="http://schemas.openxmlformats.org/officeDocument/2006/relationships/image" Target="media/image_mast2.pn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2022-12-19T18:06:00Z</dcterms:created>
  <dc:creator>Roth, Mary-Tara</dc:creator>
  <dc:description/>
  <cp:keywords/>
  <dc:language>en-US</dc:language>
  <cp:lastModifiedBy>Khattar, Khaled</cp:lastModifiedBy>
  <dcterms:modified xsi:type="dcterms:W3CDTF">2022-12-19T18:06:00Z</dcterms:modified>
  <cp:revision>2</cp:revision>
  <dc:subject/>
  <dc:title/>
</cp:coreProperties>
</file>