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0770"/>
      </w:tblGrid>
      <w:tr w:rsidR="001C7E42" w:rsidRPr="00681960" w14:paraId="3906DD63" w14:textId="77777777" w:rsidTr="006B45D1">
        <w:trPr>
          <w:trHeight w:val="5856"/>
        </w:trPr>
        <w:tc>
          <w:tcPr>
            <w:tcW w:w="5000" w:type="pct"/>
            <w:tcBorders>
              <w:bottom w:val="double" w:sz="4" w:space="0" w:color="FF0000"/>
            </w:tcBorders>
            <w:shd w:val="clear" w:color="auto" w:fill="auto"/>
            <w:vAlign w:val="center"/>
          </w:tcPr>
          <w:p w14:paraId="0E846D28" w14:textId="567CAEBD" w:rsidR="001C7E42" w:rsidRPr="001C7E42" w:rsidRDefault="001C7E42" w:rsidP="00E47896">
            <w:pPr>
              <w:tabs>
                <w:tab w:val="center" w:pos="4557"/>
              </w:tabs>
              <w:rPr>
                <w:rFonts w:asciiTheme="minorHAnsi" w:eastAsia="Calibri" w:hAnsiTheme="minorHAnsi"/>
                <w:bCs/>
                <w:color w:val="FF0000"/>
              </w:rPr>
            </w:pPr>
            <w:commentRangeStart w:id="0"/>
            <w:r w:rsidRPr="00607315">
              <w:rPr>
                <w:rFonts w:asciiTheme="minorHAnsi" w:eastAsia="Calibri" w:hAnsiTheme="minorHAnsi"/>
                <w:b/>
                <w:bCs/>
                <w:color w:val="FF0000"/>
              </w:rPr>
              <w:t xml:space="preserve">GENERAL INSTRUCTIONS </w:t>
            </w:r>
            <w:commentRangeEnd w:id="0"/>
            <w:r>
              <w:rPr>
                <w:rStyle w:val="CommentReference"/>
              </w:rPr>
              <w:commentReference w:id="0"/>
            </w:r>
            <w:r w:rsidRPr="00607315">
              <w:rPr>
                <w:rFonts w:asciiTheme="minorHAnsi" w:eastAsia="Calibri" w:hAnsiTheme="minorHAnsi"/>
                <w:bCs/>
                <w:color w:val="FF0000"/>
              </w:rPr>
              <w:t>– delete t</w:t>
            </w:r>
            <w:r>
              <w:rPr>
                <w:rFonts w:asciiTheme="minorHAnsi" w:eastAsia="Calibri" w:hAnsiTheme="minorHAnsi"/>
                <w:bCs/>
                <w:color w:val="FF0000"/>
              </w:rPr>
              <w:t xml:space="preserve">his box from the completed form.  </w:t>
            </w:r>
            <w:r w:rsidRPr="00607315">
              <w:rPr>
                <w:rFonts w:asciiTheme="minorHAnsi" w:hAnsiTheme="minorHAnsi" w:cstheme="minorHAnsi"/>
                <w:color w:val="FF0000"/>
              </w:rPr>
              <w:t>Red text represents instructions to you – to be deleted from the final version.</w:t>
            </w:r>
          </w:p>
          <w:p w14:paraId="354EB68C" w14:textId="1E1CFF4C" w:rsidR="001C7E42" w:rsidRPr="001C7E42" w:rsidRDefault="001C7E42" w:rsidP="00E47896">
            <w:pPr>
              <w:rPr>
                <w:b/>
                <w:color w:val="FF0000"/>
              </w:rPr>
            </w:pPr>
            <w:r w:rsidRPr="00607315">
              <w:rPr>
                <w:b/>
                <w:color w:val="FF0000"/>
              </w:rPr>
              <w:t xml:space="preserve">NOTE: This form is designed to be a starting point on </w:t>
            </w:r>
            <w:r>
              <w:rPr>
                <w:b/>
                <w:color w:val="FF0000"/>
              </w:rPr>
              <w:t>an Adverse Event Form.</w:t>
            </w:r>
            <w:r w:rsidRPr="00607315">
              <w:rPr>
                <w:b/>
                <w:color w:val="FF0000"/>
              </w:rPr>
              <w:t xml:space="preserve"> Update it as necessary for your specific study. </w:t>
            </w:r>
          </w:p>
          <w:p w14:paraId="3045B6C8" w14:textId="7CD16924" w:rsidR="001C7E42" w:rsidRPr="00393941" w:rsidRDefault="00847E87" w:rsidP="00E47896">
            <w:pPr>
              <w:numPr>
                <w:ilvl w:val="0"/>
                <w:numId w:val="15"/>
              </w:numPr>
              <w:spacing w:after="0" w:line="240" w:lineRule="auto"/>
              <w:ind w:left="270" w:hanging="270"/>
              <w:rPr>
                <w:color w:val="FF0000"/>
              </w:rPr>
            </w:pPr>
            <w:r w:rsidRPr="00393941">
              <w:rPr>
                <w:rFonts w:asciiTheme="minorHAnsi" w:hAnsiTheme="minorHAnsi" w:cstheme="minorHAnsi"/>
                <w:color w:val="FF0000"/>
              </w:rPr>
              <w:t xml:space="preserve">This form is to be used as source documentation for adverse events. Depending on the event, this can be supplemental to a medical record or other clinical note or the sole documentation. </w:t>
            </w:r>
          </w:p>
          <w:p w14:paraId="08BB81E4" w14:textId="181A098E" w:rsidR="00847E87" w:rsidRPr="00393941" w:rsidRDefault="00847E87" w:rsidP="00E47896">
            <w:pPr>
              <w:numPr>
                <w:ilvl w:val="0"/>
                <w:numId w:val="15"/>
              </w:numPr>
              <w:spacing w:after="0" w:line="240" w:lineRule="auto"/>
              <w:ind w:left="270" w:hanging="270"/>
              <w:rPr>
                <w:color w:val="FF0000"/>
              </w:rPr>
            </w:pPr>
            <w:r w:rsidRPr="00393941">
              <w:rPr>
                <w:rFonts w:cstheme="minorHAnsi"/>
                <w:color w:val="FF0000"/>
              </w:rPr>
              <w:t xml:space="preserve">This form is designed to </w:t>
            </w:r>
            <w:r w:rsidR="00C51655" w:rsidRPr="00393941">
              <w:rPr>
                <w:rFonts w:cstheme="minorHAnsi"/>
                <w:color w:val="FF0000"/>
              </w:rPr>
              <w:t xml:space="preserve">complement </w:t>
            </w:r>
            <w:r w:rsidRPr="00393941">
              <w:rPr>
                <w:rFonts w:cstheme="minorHAnsi"/>
                <w:color w:val="FF0000"/>
              </w:rPr>
              <w:t>an Adverse Event Log which can be used for overall study tracking</w:t>
            </w:r>
            <w:r w:rsidR="000E604D">
              <w:rPr>
                <w:rFonts w:cstheme="minorHAnsi"/>
                <w:color w:val="FF0000"/>
              </w:rPr>
              <w:t xml:space="preserve"> while this is for individual event documentation</w:t>
            </w:r>
            <w:r w:rsidRPr="00393941">
              <w:rPr>
                <w:rFonts w:cstheme="minorHAnsi"/>
                <w:color w:val="FF0000"/>
              </w:rPr>
              <w:t xml:space="preserve">. This form can be entirely built within REDCap and </w:t>
            </w:r>
            <w:r w:rsidR="00C51655" w:rsidRPr="00393941">
              <w:rPr>
                <w:rFonts w:cstheme="minorHAnsi"/>
                <w:color w:val="FF0000"/>
              </w:rPr>
              <w:t>a report can be built to function as a log.</w:t>
            </w:r>
            <w:r w:rsidR="000E604D">
              <w:rPr>
                <w:rFonts w:cstheme="minorHAnsi"/>
                <w:color w:val="FF0000"/>
              </w:rPr>
              <w:t xml:space="preserve"> </w:t>
            </w:r>
          </w:p>
          <w:p w14:paraId="2C28E58B" w14:textId="09B0A4C7" w:rsidR="00C51655" w:rsidRPr="00393941" w:rsidRDefault="00C51655" w:rsidP="00E47896">
            <w:pPr>
              <w:numPr>
                <w:ilvl w:val="0"/>
                <w:numId w:val="15"/>
              </w:numPr>
              <w:spacing w:after="0" w:line="240" w:lineRule="auto"/>
              <w:ind w:left="270" w:hanging="270"/>
              <w:rPr>
                <w:color w:val="FF0000"/>
              </w:rPr>
            </w:pPr>
            <w:r w:rsidRPr="00393941">
              <w:rPr>
                <w:color w:val="FF0000"/>
              </w:rPr>
              <w:t>Generally, adverse events are documented separately for each symptom or sign unless there is a clear clinical etiology</w:t>
            </w:r>
            <w:r w:rsidR="00E47896" w:rsidRPr="00393941">
              <w:rPr>
                <w:color w:val="FF0000"/>
              </w:rPr>
              <w:t xml:space="preserve">. In this case, all symptoms or signs should be included in the description of the event. </w:t>
            </w:r>
          </w:p>
          <w:p w14:paraId="3CE2D19C" w14:textId="77777777" w:rsidR="00847E87" w:rsidRPr="00393941" w:rsidRDefault="00847E87" w:rsidP="00E47896">
            <w:pPr>
              <w:numPr>
                <w:ilvl w:val="0"/>
                <w:numId w:val="15"/>
              </w:numPr>
              <w:spacing w:after="0" w:line="240" w:lineRule="auto"/>
              <w:ind w:left="270" w:hanging="270"/>
              <w:rPr>
                <w:color w:val="FF0000"/>
              </w:rPr>
            </w:pPr>
            <w:r w:rsidRPr="00393941">
              <w:rPr>
                <w:color w:val="FF0000"/>
              </w:rPr>
              <w:t>All events should be assessed for expectedness, relatedness, severity, and seriousness. The assessment and definitions used should be study-specific and based both on IRB</w:t>
            </w:r>
            <w:r w:rsidR="00E47896" w:rsidRPr="00393941">
              <w:rPr>
                <w:color w:val="FF0000"/>
              </w:rPr>
              <w:t xml:space="preserve"> of record</w:t>
            </w:r>
            <w:r w:rsidRPr="00393941">
              <w:rPr>
                <w:color w:val="FF0000"/>
              </w:rPr>
              <w:t xml:space="preserve"> policy and guidance as well as the protocol or IRB application. </w:t>
            </w:r>
            <w:r w:rsidR="00E47896" w:rsidRPr="00393941">
              <w:rPr>
                <w:color w:val="FF0000"/>
              </w:rPr>
              <w:t xml:space="preserve">Assessments are generally only done by clinically licensed research team members who are delegated to the task. </w:t>
            </w:r>
          </w:p>
          <w:p w14:paraId="7C05936D" w14:textId="5448C2CF" w:rsidR="00393941" w:rsidRPr="00393941" w:rsidRDefault="00393941" w:rsidP="00E47896">
            <w:pPr>
              <w:numPr>
                <w:ilvl w:val="0"/>
                <w:numId w:val="15"/>
              </w:numPr>
              <w:spacing w:after="0" w:line="240" w:lineRule="auto"/>
              <w:ind w:left="270" w:hanging="270"/>
              <w:rPr>
                <w:color w:val="FF0000"/>
              </w:rPr>
            </w:pPr>
            <w:r w:rsidRPr="00393941">
              <w:rPr>
                <w:color w:val="FF0000"/>
              </w:rPr>
              <w:t>Relatedness, Expectedness, and Severity – study teams should make sure that the definitions are, as applicable, correct and as defined by their protocol, FDA, sponsor, IRB of record, or any other reporting authority or oversight body.</w:t>
            </w:r>
          </w:p>
          <w:p w14:paraId="38BDDA07" w14:textId="77777777" w:rsidR="00393941" w:rsidRPr="00B714AE" w:rsidRDefault="00393941" w:rsidP="00E47896">
            <w:pPr>
              <w:numPr>
                <w:ilvl w:val="0"/>
                <w:numId w:val="15"/>
              </w:numPr>
              <w:spacing w:after="0" w:line="240" w:lineRule="auto"/>
              <w:ind w:left="270" w:hanging="270"/>
            </w:pPr>
            <w:r w:rsidRPr="00393941">
              <w:rPr>
                <w:color w:val="FF0000"/>
              </w:rPr>
              <w:t xml:space="preserve">Seriousness – this is defined by </w:t>
            </w:r>
            <w:hyperlink r:id="rId11" w:anchor="13" w:history="1">
              <w:r w:rsidRPr="00393941">
                <w:rPr>
                  <w:rStyle w:val="Hyperlink"/>
                  <w:rFonts w:ascii="Calibri" w:hAnsi="Calibri"/>
                </w:rPr>
                <w:t>HRPP Policy Definitions</w:t>
              </w:r>
            </w:hyperlink>
            <w:r w:rsidRPr="00393941">
              <w:rPr>
                <w:color w:val="FF0000"/>
              </w:rPr>
              <w:t xml:space="preserve"> and should not be changed. </w:t>
            </w:r>
          </w:p>
          <w:p w14:paraId="524773DA" w14:textId="77777777" w:rsidR="00B714AE" w:rsidRPr="006B45D1" w:rsidRDefault="00B714AE" w:rsidP="00E47896">
            <w:pPr>
              <w:numPr>
                <w:ilvl w:val="0"/>
                <w:numId w:val="15"/>
              </w:numPr>
              <w:spacing w:after="0" w:line="240" w:lineRule="auto"/>
              <w:ind w:left="270" w:hanging="270"/>
            </w:pPr>
            <w:r>
              <w:rPr>
                <w:rFonts w:asciiTheme="minorHAnsi" w:hAnsiTheme="minorHAnsi" w:cstheme="minorHAnsi"/>
                <w:color w:val="FF0000"/>
              </w:rPr>
              <w:t xml:space="preserve">Additional resources for Adverse Events are available within the </w:t>
            </w:r>
            <w:hyperlink r:id="rId12" w:history="1">
              <w:r>
                <w:rPr>
                  <w:rStyle w:val="Hyperlink"/>
                  <w:rFonts w:asciiTheme="minorHAnsi" w:hAnsiTheme="minorHAnsi" w:cstheme="minorHAnsi"/>
                </w:rPr>
                <w:t>Standard Operating Procedure guidance document</w:t>
              </w:r>
            </w:hyperlink>
            <w:r>
              <w:rPr>
                <w:rFonts w:asciiTheme="minorHAnsi" w:hAnsiTheme="minorHAnsi" w:cstheme="minorHAnsi"/>
                <w:color w:val="FF0000"/>
              </w:rPr>
              <w:t>.</w:t>
            </w:r>
          </w:p>
          <w:p w14:paraId="27BDD7A7" w14:textId="07F161F4" w:rsidR="006B45D1" w:rsidRPr="00681960" w:rsidRDefault="006B45D1" w:rsidP="006B45D1">
            <w:pPr>
              <w:spacing w:after="0" w:line="240" w:lineRule="auto"/>
              <w:ind w:left="270"/>
            </w:pPr>
          </w:p>
        </w:tc>
      </w:tr>
    </w:tbl>
    <w:p w14:paraId="072E0FBD" w14:textId="77777777" w:rsidR="006B45D1" w:rsidRDefault="006B45D1" w:rsidP="001C7E42">
      <w:pPr>
        <w:spacing w:after="0"/>
      </w:pPr>
    </w:p>
    <w:tbl>
      <w:tblPr>
        <w:tblStyle w:val="TableGrid"/>
        <w:tblW w:w="5000" w:type="pct"/>
        <w:tblLook w:val="04A0" w:firstRow="1" w:lastRow="0" w:firstColumn="1" w:lastColumn="0" w:noHBand="0" w:noVBand="1"/>
      </w:tblPr>
      <w:tblGrid>
        <w:gridCol w:w="2048"/>
        <w:gridCol w:w="4192"/>
        <w:gridCol w:w="4550"/>
      </w:tblGrid>
      <w:tr w:rsidR="004233BB" w14:paraId="08632E55" w14:textId="77777777" w:rsidTr="00D5748C">
        <w:trPr>
          <w:trHeight w:val="1322"/>
        </w:trPr>
        <w:tc>
          <w:tcPr>
            <w:tcW w:w="5000" w:type="pct"/>
            <w:gridSpan w:val="3"/>
            <w:tcBorders>
              <w:bottom w:val="single" w:sz="4" w:space="0" w:color="auto"/>
            </w:tcBorders>
            <w:vAlign w:val="bottom"/>
          </w:tcPr>
          <w:p w14:paraId="1A53BE2D" w14:textId="339EBEB0" w:rsidR="004233BB" w:rsidRDefault="004233BB" w:rsidP="004233BB">
            <w:pPr>
              <w:spacing w:after="0" w:line="360" w:lineRule="auto"/>
              <w:contextualSpacing/>
              <w:rPr>
                <w:rFonts w:asciiTheme="minorHAnsi" w:hAnsiTheme="minorHAnsi" w:cstheme="minorHAnsi"/>
              </w:rPr>
            </w:pPr>
            <w:r>
              <w:rPr>
                <w:rFonts w:asciiTheme="minorHAnsi" w:hAnsiTheme="minorHAnsi" w:cstheme="minorHAnsi"/>
              </w:rPr>
              <w:t>Start d</w:t>
            </w:r>
            <w:r w:rsidRPr="0089573A">
              <w:rPr>
                <w:rFonts w:asciiTheme="minorHAnsi" w:hAnsiTheme="minorHAnsi" w:cstheme="minorHAnsi"/>
              </w:rPr>
              <w:t>ate</w:t>
            </w:r>
            <w:r w:rsidR="001E0BC8">
              <w:rPr>
                <w:rFonts w:asciiTheme="minorHAnsi" w:hAnsiTheme="minorHAnsi" w:cstheme="minorHAnsi"/>
              </w:rPr>
              <w:t xml:space="preserve"> of event</w:t>
            </w:r>
            <w:r>
              <w:rPr>
                <w:rFonts w:asciiTheme="minorHAnsi" w:hAnsiTheme="minorHAnsi" w:cstheme="minorHAnsi"/>
              </w:rPr>
              <w:t>: __________________</w:t>
            </w:r>
          </w:p>
          <w:p w14:paraId="19B38191" w14:textId="5852B01F" w:rsidR="004233BB" w:rsidRDefault="004233BB" w:rsidP="004233BB">
            <w:pPr>
              <w:spacing w:after="0" w:line="360" w:lineRule="auto"/>
              <w:contextualSpacing/>
              <w:rPr>
                <w:rFonts w:asciiTheme="minorHAnsi" w:hAnsiTheme="minorHAnsi" w:cstheme="minorHAnsi"/>
                <w:i/>
              </w:rPr>
            </w:pPr>
            <w:r>
              <w:rPr>
                <w:rFonts w:asciiTheme="minorHAnsi" w:hAnsiTheme="minorHAnsi" w:cstheme="minorHAnsi"/>
              </w:rPr>
              <w:t>Stop date</w:t>
            </w:r>
            <w:r w:rsidR="001E0BC8">
              <w:rPr>
                <w:rFonts w:asciiTheme="minorHAnsi" w:hAnsiTheme="minorHAnsi" w:cstheme="minorHAnsi"/>
              </w:rPr>
              <w:t xml:space="preserve"> of event</w:t>
            </w:r>
            <w:r>
              <w:rPr>
                <w:rFonts w:asciiTheme="minorHAnsi" w:hAnsiTheme="minorHAnsi" w:cstheme="minorHAnsi"/>
              </w:rPr>
              <w:t>: _________________</w:t>
            </w:r>
            <w:r w:rsidRPr="0089573A">
              <w:rPr>
                <w:rFonts w:asciiTheme="minorHAnsi" w:hAnsiTheme="minorHAnsi" w:cstheme="minorHAnsi"/>
              </w:rPr>
              <w:t>___</w:t>
            </w:r>
            <w:r>
              <w:rPr>
                <w:rFonts w:asciiTheme="minorHAnsi" w:hAnsiTheme="minorHAnsi" w:cstheme="minorHAnsi"/>
              </w:rPr>
              <w:t xml:space="preserve"> </w:t>
            </w:r>
            <w:r w:rsidRPr="00373C65">
              <w:rPr>
                <w:rFonts w:asciiTheme="minorHAnsi" w:hAnsiTheme="minorHAnsi" w:cstheme="minorHAnsi"/>
                <w:i/>
              </w:rPr>
              <w:t>(can be entered at later date)</w:t>
            </w:r>
          </w:p>
          <w:p w14:paraId="167E5A84" w14:textId="3E4343CF" w:rsidR="00035513" w:rsidRPr="001A40E1" w:rsidRDefault="004233BB" w:rsidP="001A40E1">
            <w:pPr>
              <w:spacing w:after="0" w:line="360" w:lineRule="auto"/>
              <w:contextualSpacing/>
              <w:rPr>
                <w:rFonts w:asciiTheme="minorHAnsi" w:hAnsiTheme="minorHAnsi" w:cstheme="minorHAnsi"/>
              </w:rPr>
            </w:pPr>
            <w:r>
              <w:rPr>
                <w:rFonts w:asciiTheme="minorHAnsi" w:hAnsiTheme="minorHAnsi" w:cstheme="minorHAnsi"/>
              </w:rPr>
              <w:t xml:space="preserve">Date </w:t>
            </w:r>
            <w:r w:rsidR="00E47896">
              <w:rPr>
                <w:rFonts w:asciiTheme="minorHAnsi" w:hAnsiTheme="minorHAnsi" w:cstheme="minorHAnsi"/>
              </w:rPr>
              <w:t xml:space="preserve">member of research team </w:t>
            </w:r>
            <w:r>
              <w:rPr>
                <w:rFonts w:asciiTheme="minorHAnsi" w:hAnsiTheme="minorHAnsi" w:cstheme="minorHAnsi"/>
              </w:rPr>
              <w:t>became aware of event: ____________________</w:t>
            </w:r>
          </w:p>
        </w:tc>
      </w:tr>
      <w:tr w:rsidR="00215BEC" w14:paraId="5A9C64ED" w14:textId="77777777" w:rsidTr="00215BEC">
        <w:trPr>
          <w:trHeight w:val="710"/>
        </w:trPr>
        <w:tc>
          <w:tcPr>
            <w:tcW w:w="5000" w:type="pct"/>
            <w:gridSpan w:val="3"/>
            <w:shd w:val="clear" w:color="auto" w:fill="D9D9D9" w:themeFill="background1" w:themeFillShade="D9"/>
            <w:vAlign w:val="center"/>
          </w:tcPr>
          <w:p w14:paraId="5FF52514" w14:textId="1B8D5390" w:rsidR="00215BEC" w:rsidRDefault="00215BEC" w:rsidP="00373875">
            <w:pPr>
              <w:spacing w:line="240" w:lineRule="auto"/>
              <w:contextualSpacing/>
            </w:pPr>
            <w:r w:rsidRPr="00215BEC">
              <w:rPr>
                <w:b/>
              </w:rPr>
              <w:t>Description of event:</w:t>
            </w:r>
            <w:r>
              <w:t xml:space="preserve"> </w:t>
            </w:r>
            <w:r w:rsidRPr="005B1FC1">
              <w:rPr>
                <w:i/>
              </w:rPr>
              <w:t>include resolution details</w:t>
            </w:r>
            <w:r w:rsidR="00393941">
              <w:rPr>
                <w:i/>
              </w:rPr>
              <w:t xml:space="preserve"> and any resulting sequelae</w:t>
            </w:r>
            <w:r w:rsidRPr="005B1FC1">
              <w:rPr>
                <w:i/>
              </w:rPr>
              <w:t xml:space="preserve"> and if actions were required to treat or prevent event. </w:t>
            </w:r>
            <w:r w:rsidR="001E0BC8">
              <w:rPr>
                <w:i/>
              </w:rPr>
              <w:t xml:space="preserve">The description of the event can be continued </w:t>
            </w:r>
            <w:r w:rsidRPr="005B1FC1">
              <w:rPr>
                <w:i/>
              </w:rPr>
              <w:t xml:space="preserve">if </w:t>
            </w:r>
            <w:r w:rsidR="00D35E23" w:rsidRPr="005B1FC1">
              <w:rPr>
                <w:i/>
              </w:rPr>
              <w:t>necessary,</w:t>
            </w:r>
            <w:r w:rsidRPr="005B1FC1">
              <w:rPr>
                <w:i/>
              </w:rPr>
              <w:t xml:space="preserve"> on </w:t>
            </w:r>
            <w:r w:rsidR="005221BA">
              <w:rPr>
                <w:i/>
              </w:rPr>
              <w:t xml:space="preserve">a separate progress note form or document. </w:t>
            </w:r>
            <w:r>
              <w:t xml:space="preserve"> </w:t>
            </w:r>
          </w:p>
        </w:tc>
      </w:tr>
      <w:tr w:rsidR="00215BEC" w14:paraId="64DDBFEE" w14:textId="77777777" w:rsidTr="005B1FC1">
        <w:trPr>
          <w:trHeight w:val="1880"/>
        </w:trPr>
        <w:tc>
          <w:tcPr>
            <w:tcW w:w="5000" w:type="pct"/>
            <w:gridSpan w:val="3"/>
            <w:tcBorders>
              <w:bottom w:val="single" w:sz="4" w:space="0" w:color="000000"/>
            </w:tcBorders>
            <w:vAlign w:val="center"/>
          </w:tcPr>
          <w:p w14:paraId="3CD8D12F" w14:textId="77777777" w:rsidR="00215BEC" w:rsidRDefault="00215BEC" w:rsidP="00215BEC">
            <w:pPr>
              <w:spacing w:before="24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A2DAF">
              <w:t>________________________________________________________________________________________________</w:t>
            </w:r>
          </w:p>
        </w:tc>
      </w:tr>
      <w:tr w:rsidR="00215BEC" w14:paraId="198AD9D8" w14:textId="77777777" w:rsidTr="005B1FC1">
        <w:trPr>
          <w:trHeight w:val="432"/>
        </w:trPr>
        <w:tc>
          <w:tcPr>
            <w:tcW w:w="5000" w:type="pct"/>
            <w:gridSpan w:val="3"/>
            <w:tcBorders>
              <w:top w:val="single" w:sz="4" w:space="0" w:color="000000"/>
            </w:tcBorders>
            <w:shd w:val="clear" w:color="auto" w:fill="D9D9D9" w:themeFill="background1" w:themeFillShade="D9"/>
            <w:vAlign w:val="center"/>
          </w:tcPr>
          <w:p w14:paraId="2A18EEB8" w14:textId="77777777" w:rsidR="00215BEC" w:rsidRPr="005B1FC1" w:rsidRDefault="00215BEC" w:rsidP="005B1FC1">
            <w:pPr>
              <w:pStyle w:val="ListParagraph"/>
              <w:spacing w:after="0" w:line="240" w:lineRule="auto"/>
              <w:ind w:left="-20"/>
              <w:rPr>
                <w:rFonts w:asciiTheme="minorHAnsi" w:hAnsiTheme="minorHAnsi" w:cstheme="minorHAnsi"/>
                <w:b/>
              </w:rPr>
            </w:pPr>
            <w:r w:rsidRPr="005B1FC1">
              <w:rPr>
                <w:rFonts w:asciiTheme="minorHAnsi" w:hAnsiTheme="minorHAnsi" w:cstheme="minorHAnsi"/>
                <w:b/>
              </w:rPr>
              <w:lastRenderedPageBreak/>
              <w:t>Adverse Event Category</w:t>
            </w:r>
          </w:p>
        </w:tc>
      </w:tr>
      <w:tr w:rsidR="00215BEC" w14:paraId="3B125340" w14:textId="77777777" w:rsidTr="00D5748C">
        <w:trPr>
          <w:trHeight w:val="1277"/>
        </w:trPr>
        <w:tc>
          <w:tcPr>
            <w:tcW w:w="919" w:type="pct"/>
            <w:vAlign w:val="center"/>
          </w:tcPr>
          <w:p w14:paraId="7ED3F481" w14:textId="22065F8C" w:rsidR="00215BEC" w:rsidRDefault="00355416" w:rsidP="00215BEC">
            <w:pPr>
              <w:spacing w:after="0" w:line="240" w:lineRule="auto"/>
              <w:contextualSpacing/>
              <w:rPr>
                <w:rFonts w:asciiTheme="minorHAnsi" w:hAnsiTheme="minorHAnsi" w:cstheme="minorHAnsi"/>
              </w:rPr>
            </w:pPr>
            <w:commentRangeStart w:id="1"/>
            <w:r>
              <w:rPr>
                <w:rFonts w:asciiTheme="minorHAnsi" w:hAnsiTheme="minorHAnsi" w:cstheme="minorHAnsi"/>
              </w:rPr>
              <w:t>Relatedness</w:t>
            </w:r>
            <w:commentRangeEnd w:id="1"/>
            <w:r w:rsidR="001E0BC8">
              <w:rPr>
                <w:rStyle w:val="CommentReference"/>
                <w:rFonts w:ascii="Times New Roman" w:hAnsi="Times New Roman"/>
              </w:rPr>
              <w:commentReference w:id="1"/>
            </w:r>
          </w:p>
          <w:p w14:paraId="2457EC2E" w14:textId="77777777" w:rsidR="00215BEC" w:rsidRPr="0089573A" w:rsidRDefault="00215BEC" w:rsidP="00215BEC">
            <w:pPr>
              <w:spacing w:after="0" w:line="240" w:lineRule="auto"/>
              <w:contextualSpacing/>
              <w:rPr>
                <w:rFonts w:asciiTheme="minorHAnsi" w:hAnsiTheme="minorHAnsi" w:cstheme="minorHAnsi"/>
              </w:rPr>
            </w:pPr>
          </w:p>
        </w:tc>
        <w:tc>
          <w:tcPr>
            <w:tcW w:w="4081" w:type="pct"/>
            <w:gridSpan w:val="2"/>
            <w:vAlign w:val="center"/>
          </w:tcPr>
          <w:p w14:paraId="645F6582" w14:textId="22C4F669" w:rsidR="00355416" w:rsidRDefault="00355416" w:rsidP="00355416">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Definite</w:t>
            </w:r>
          </w:p>
          <w:p w14:paraId="5BEEB44F" w14:textId="51C8E679" w:rsidR="00355416" w:rsidRDefault="00355416" w:rsidP="00355416">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Possible</w:t>
            </w:r>
            <w:r w:rsidR="00D5748C">
              <w:rPr>
                <w:rFonts w:asciiTheme="minorHAnsi" w:hAnsiTheme="minorHAnsi" w:cstheme="minorHAnsi"/>
              </w:rPr>
              <w:t xml:space="preserve"> - </w:t>
            </w:r>
            <w:r w:rsidR="00D5748C" w:rsidRPr="00D5748C">
              <w:rPr>
                <w:rFonts w:asciiTheme="minorHAnsi" w:hAnsiTheme="minorHAnsi" w:cstheme="minorHAnsi"/>
              </w:rPr>
              <w:t>reasonable possibility that the incident, experience, or outcome may have been caused by the procedures involved in the research</w:t>
            </w:r>
          </w:p>
          <w:p w14:paraId="1A2FE935" w14:textId="1AF5BA9C" w:rsidR="00D5748C" w:rsidRPr="00D5748C" w:rsidRDefault="00355416" w:rsidP="00D5748C">
            <w:pPr>
              <w:pStyle w:val="ListParagraph"/>
              <w:numPr>
                <w:ilvl w:val="0"/>
                <w:numId w:val="12"/>
              </w:numPr>
              <w:spacing w:after="0" w:line="240" w:lineRule="auto"/>
              <w:rPr>
                <w:rFonts w:asciiTheme="minorHAnsi" w:hAnsiTheme="minorHAnsi" w:cstheme="minorHAnsi"/>
              </w:rPr>
            </w:pPr>
            <w:r w:rsidRPr="00355416">
              <w:rPr>
                <w:rFonts w:asciiTheme="minorHAnsi" w:hAnsiTheme="minorHAnsi" w:cstheme="minorHAnsi"/>
              </w:rPr>
              <w:t>Unrelated</w:t>
            </w:r>
          </w:p>
        </w:tc>
      </w:tr>
      <w:tr w:rsidR="00355416" w14:paraId="15661CF4" w14:textId="77777777" w:rsidTr="00D5748C">
        <w:trPr>
          <w:trHeight w:val="2015"/>
        </w:trPr>
        <w:tc>
          <w:tcPr>
            <w:tcW w:w="919" w:type="pct"/>
            <w:vAlign w:val="center"/>
          </w:tcPr>
          <w:p w14:paraId="2BEF4F75" w14:textId="3AB10115" w:rsidR="00355416" w:rsidRDefault="00355416" w:rsidP="00215BEC">
            <w:pPr>
              <w:spacing w:after="0" w:line="240" w:lineRule="auto"/>
              <w:contextualSpacing/>
              <w:rPr>
                <w:rFonts w:asciiTheme="minorHAnsi" w:hAnsiTheme="minorHAnsi" w:cstheme="minorHAnsi"/>
              </w:rPr>
            </w:pPr>
            <w:commentRangeStart w:id="2"/>
            <w:r>
              <w:rPr>
                <w:rFonts w:asciiTheme="minorHAnsi" w:hAnsiTheme="minorHAnsi" w:cstheme="minorHAnsi"/>
              </w:rPr>
              <w:t>Expectedness</w:t>
            </w:r>
            <w:commentRangeEnd w:id="2"/>
            <w:r w:rsidR="001E0BC8">
              <w:rPr>
                <w:rStyle w:val="CommentReference"/>
                <w:rFonts w:ascii="Times New Roman" w:hAnsi="Times New Roman"/>
              </w:rPr>
              <w:commentReference w:id="2"/>
            </w:r>
          </w:p>
        </w:tc>
        <w:tc>
          <w:tcPr>
            <w:tcW w:w="4081" w:type="pct"/>
            <w:gridSpan w:val="2"/>
            <w:vAlign w:val="center"/>
          </w:tcPr>
          <w:p w14:paraId="06FBFCC6" w14:textId="176CC613" w:rsidR="00D5748C" w:rsidRPr="00D5748C" w:rsidRDefault="00D5748C" w:rsidP="00D5748C">
            <w:pPr>
              <w:pStyle w:val="ListParagraph"/>
              <w:numPr>
                <w:ilvl w:val="0"/>
                <w:numId w:val="12"/>
              </w:numPr>
              <w:rPr>
                <w:rFonts w:asciiTheme="minorHAnsi" w:hAnsiTheme="minorHAnsi" w:cstheme="minorHAnsi"/>
              </w:rPr>
            </w:pPr>
            <w:r>
              <w:rPr>
                <w:rFonts w:asciiTheme="minorHAnsi" w:hAnsiTheme="minorHAnsi" w:cstheme="minorHAnsi"/>
              </w:rPr>
              <w:t>U</w:t>
            </w:r>
            <w:r w:rsidRPr="00D5748C">
              <w:rPr>
                <w:rFonts w:asciiTheme="minorHAnsi" w:hAnsiTheme="minorHAnsi" w:cstheme="minorHAnsi"/>
              </w:rPr>
              <w:t>nexpected</w:t>
            </w:r>
          </w:p>
          <w:p w14:paraId="62A49CE6" w14:textId="77777777" w:rsidR="00355416" w:rsidRDefault="00D5748C" w:rsidP="00215BEC">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Expected</w:t>
            </w:r>
          </w:p>
          <w:p w14:paraId="0CA36640" w14:textId="77777777" w:rsidR="00D5748C" w:rsidRDefault="00D5748C" w:rsidP="00D5748C">
            <w:pPr>
              <w:spacing w:after="0" w:line="240" w:lineRule="auto"/>
              <w:rPr>
                <w:rFonts w:asciiTheme="minorHAnsi" w:hAnsiTheme="minorHAnsi" w:cstheme="minorHAnsi"/>
              </w:rPr>
            </w:pPr>
          </w:p>
          <w:p w14:paraId="16C818A5" w14:textId="2693C450" w:rsidR="00D5748C" w:rsidRPr="00D5748C" w:rsidRDefault="00D5748C" w:rsidP="00D5748C">
            <w:pPr>
              <w:spacing w:after="0" w:line="240" w:lineRule="auto"/>
              <w:rPr>
                <w:rFonts w:asciiTheme="minorHAnsi" w:hAnsiTheme="minorHAnsi" w:cstheme="minorHAnsi"/>
                <w:i/>
                <w:iCs/>
              </w:rPr>
            </w:pPr>
            <w:r w:rsidRPr="00D5748C">
              <w:rPr>
                <w:rFonts w:asciiTheme="minorHAnsi" w:hAnsiTheme="minorHAnsi" w:cstheme="minorHAnsi"/>
                <w:i/>
                <w:iCs/>
              </w:rPr>
              <w:t xml:space="preserve">Defined: </w:t>
            </w:r>
            <w:r>
              <w:rPr>
                <w:rFonts w:asciiTheme="minorHAnsi" w:hAnsiTheme="minorHAnsi" w:cstheme="minorHAnsi"/>
                <w:i/>
                <w:iCs/>
              </w:rPr>
              <w:t xml:space="preserve">assess event in </w:t>
            </w:r>
            <w:r w:rsidRPr="00D5748C">
              <w:rPr>
                <w:rFonts w:asciiTheme="minorHAnsi" w:hAnsiTheme="minorHAnsi" w:cstheme="minorHAnsi"/>
                <w:i/>
                <w:iCs/>
              </w:rPr>
              <w:t xml:space="preserve">terms of nature, severity, or frequency) given (a) the research procedures that are described in the protocol-related documents (such as the IRB-approved research protocol and informed consent document) and (b) the characteristics of the </w:t>
            </w:r>
            <w:r>
              <w:rPr>
                <w:rFonts w:asciiTheme="minorHAnsi" w:hAnsiTheme="minorHAnsi" w:cstheme="minorHAnsi"/>
                <w:i/>
                <w:iCs/>
              </w:rPr>
              <w:t xml:space="preserve">patient </w:t>
            </w:r>
            <w:r w:rsidRPr="00D5748C">
              <w:rPr>
                <w:rFonts w:asciiTheme="minorHAnsi" w:hAnsiTheme="minorHAnsi" w:cstheme="minorHAnsi"/>
                <w:i/>
                <w:iCs/>
              </w:rPr>
              <w:t>population being studied</w:t>
            </w:r>
          </w:p>
        </w:tc>
      </w:tr>
      <w:tr w:rsidR="00215BEC" w:rsidRPr="00B75946" w14:paraId="71270286" w14:textId="77777777" w:rsidTr="00355416">
        <w:tc>
          <w:tcPr>
            <w:tcW w:w="919" w:type="pct"/>
            <w:vAlign w:val="center"/>
          </w:tcPr>
          <w:p w14:paraId="4910832F" w14:textId="77777777" w:rsidR="00215BEC" w:rsidRPr="0089573A" w:rsidRDefault="00215BEC" w:rsidP="00215BEC">
            <w:pPr>
              <w:spacing w:after="0" w:line="240" w:lineRule="auto"/>
              <w:contextualSpacing/>
              <w:rPr>
                <w:rFonts w:asciiTheme="minorHAnsi" w:hAnsiTheme="minorHAnsi" w:cstheme="minorHAnsi"/>
              </w:rPr>
            </w:pPr>
            <w:r>
              <w:rPr>
                <w:rFonts w:asciiTheme="minorHAnsi" w:hAnsiTheme="minorHAnsi" w:cstheme="minorHAnsi"/>
              </w:rPr>
              <w:t>Severity</w:t>
            </w:r>
          </w:p>
        </w:tc>
        <w:tc>
          <w:tcPr>
            <w:tcW w:w="4081" w:type="pct"/>
            <w:gridSpan w:val="2"/>
            <w:vAlign w:val="center"/>
          </w:tcPr>
          <w:p w14:paraId="111BC37B" w14:textId="20F549F0" w:rsidR="00215BEC" w:rsidRPr="00B75946" w:rsidRDefault="00355416" w:rsidP="00215BEC">
            <w:pPr>
              <w:pStyle w:val="ListParagraph"/>
              <w:numPr>
                <w:ilvl w:val="0"/>
                <w:numId w:val="4"/>
              </w:numPr>
              <w:spacing w:after="0" w:line="240" w:lineRule="auto"/>
              <w:rPr>
                <w:rFonts w:asciiTheme="minorHAnsi" w:hAnsiTheme="minorHAnsi" w:cstheme="minorHAnsi"/>
              </w:rPr>
            </w:pPr>
            <w:r w:rsidRPr="00355416">
              <w:rPr>
                <w:rFonts w:asciiTheme="minorHAnsi" w:hAnsiTheme="minorHAnsi" w:cstheme="minorHAnsi"/>
                <w:color w:val="FF0000"/>
              </w:rPr>
              <w:t xml:space="preserve">[Insert options for severity for specific study. Severity can include mild, moderate, severe – definitions should be provided on this form for consistent assessments. Other severity indexes or grading can be used including </w:t>
            </w:r>
            <w:hyperlink r:id="rId13" w:history="1">
              <w:commentRangeStart w:id="3"/>
              <w:r w:rsidRPr="00355416">
                <w:rPr>
                  <w:rStyle w:val="Hyperlink"/>
                  <w:rFonts w:asciiTheme="minorHAnsi" w:hAnsiTheme="minorHAnsi" w:cstheme="minorHAnsi"/>
                  <w:color w:val="FF0000"/>
                </w:rPr>
                <w:t>CTCAE</w:t>
              </w:r>
              <w:commentRangeEnd w:id="3"/>
              <w:r w:rsidRPr="00355416">
                <w:rPr>
                  <w:rStyle w:val="Hyperlink"/>
                  <w:rFonts w:ascii="Times New Roman" w:hAnsi="Times New Roman"/>
                  <w:color w:val="FF0000"/>
                  <w:sz w:val="16"/>
                  <w:szCs w:val="16"/>
                </w:rPr>
                <w:commentReference w:id="3"/>
              </w:r>
            </w:hyperlink>
            <w:r w:rsidRPr="00355416">
              <w:rPr>
                <w:rFonts w:asciiTheme="minorHAnsi" w:hAnsiTheme="minorHAnsi" w:cstheme="minorHAnsi"/>
                <w:color w:val="FF0000"/>
              </w:rPr>
              <w:t xml:space="preserve"> for oncology or non-oncology studies.]</w:t>
            </w:r>
          </w:p>
        </w:tc>
      </w:tr>
      <w:tr w:rsidR="00215BEC" w14:paraId="281E79C9" w14:textId="77777777" w:rsidTr="00355416">
        <w:trPr>
          <w:trHeight w:val="1502"/>
        </w:trPr>
        <w:tc>
          <w:tcPr>
            <w:tcW w:w="919" w:type="pct"/>
            <w:vAlign w:val="center"/>
          </w:tcPr>
          <w:p w14:paraId="0098BB68" w14:textId="77777777" w:rsidR="00215BEC" w:rsidRPr="00373875" w:rsidRDefault="00215BEC" w:rsidP="005B1FC1">
            <w:pPr>
              <w:spacing w:after="0" w:line="240" w:lineRule="auto"/>
              <w:contextualSpacing/>
              <w:rPr>
                <w:rFonts w:asciiTheme="minorHAnsi" w:hAnsiTheme="minorHAnsi" w:cstheme="minorHAnsi"/>
              </w:rPr>
            </w:pPr>
            <w:commentRangeStart w:id="4"/>
            <w:r>
              <w:rPr>
                <w:rFonts w:asciiTheme="minorHAnsi" w:hAnsiTheme="minorHAnsi" w:cstheme="minorHAnsi"/>
              </w:rPr>
              <w:t>Seriousness</w:t>
            </w:r>
            <w:commentRangeEnd w:id="4"/>
            <w:r w:rsidR="005221BA">
              <w:rPr>
                <w:rStyle w:val="CommentReference"/>
                <w:rFonts w:ascii="Times New Roman" w:hAnsi="Times New Roman"/>
              </w:rPr>
              <w:commentReference w:id="4"/>
            </w:r>
          </w:p>
        </w:tc>
        <w:tc>
          <w:tcPr>
            <w:tcW w:w="4081" w:type="pct"/>
            <w:gridSpan w:val="2"/>
            <w:vAlign w:val="center"/>
          </w:tcPr>
          <w:p w14:paraId="7E5A2778" w14:textId="77777777" w:rsidR="00215BEC" w:rsidRDefault="00215BEC" w:rsidP="00215BEC">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Not Serious</w:t>
            </w:r>
          </w:p>
          <w:p w14:paraId="63A92A9E" w14:textId="77777777" w:rsidR="00215BEC" w:rsidRDefault="00215BEC" w:rsidP="00215BEC">
            <w:pPr>
              <w:pStyle w:val="ListParagraph"/>
              <w:numPr>
                <w:ilvl w:val="0"/>
                <w:numId w:val="6"/>
              </w:numPr>
              <w:spacing w:after="0" w:line="240" w:lineRule="auto"/>
              <w:rPr>
                <w:rFonts w:asciiTheme="minorHAnsi" w:hAnsiTheme="minorHAnsi" w:cstheme="minorHAnsi"/>
              </w:rPr>
            </w:pPr>
            <w:r>
              <w:rPr>
                <w:rFonts w:asciiTheme="minorHAnsi" w:hAnsiTheme="minorHAnsi" w:cstheme="minorHAnsi"/>
              </w:rPr>
              <w:t>Serious</w:t>
            </w:r>
          </w:p>
          <w:p w14:paraId="6BD4D6B9" w14:textId="4BC797BE" w:rsidR="00215BEC" w:rsidRDefault="005221BA" w:rsidP="00215BEC">
            <w:pPr>
              <w:pStyle w:val="ListParagraph"/>
              <w:numPr>
                <w:ilvl w:val="1"/>
                <w:numId w:val="6"/>
              </w:numPr>
              <w:spacing w:after="0" w:line="240" w:lineRule="auto"/>
              <w:rPr>
                <w:rFonts w:asciiTheme="minorHAnsi" w:hAnsiTheme="minorHAnsi" w:cstheme="minorHAnsi"/>
              </w:rPr>
            </w:pPr>
            <w:r>
              <w:rPr>
                <w:rFonts w:asciiTheme="minorHAnsi" w:hAnsiTheme="minorHAnsi" w:cstheme="minorHAnsi"/>
              </w:rPr>
              <w:t>Results in d</w:t>
            </w:r>
            <w:r w:rsidR="00215BEC">
              <w:rPr>
                <w:rFonts w:asciiTheme="minorHAnsi" w:hAnsiTheme="minorHAnsi" w:cstheme="minorHAnsi"/>
              </w:rPr>
              <w:t>eath</w:t>
            </w:r>
          </w:p>
          <w:p w14:paraId="2445488F" w14:textId="0ABF2B1D" w:rsidR="005221BA" w:rsidRDefault="005221BA" w:rsidP="00215BEC">
            <w:pPr>
              <w:pStyle w:val="ListParagraph"/>
              <w:numPr>
                <w:ilvl w:val="1"/>
                <w:numId w:val="6"/>
              </w:numPr>
              <w:spacing w:after="0" w:line="240" w:lineRule="auto"/>
              <w:rPr>
                <w:rFonts w:asciiTheme="minorHAnsi" w:hAnsiTheme="minorHAnsi" w:cstheme="minorHAnsi"/>
              </w:rPr>
            </w:pPr>
            <w:r>
              <w:rPr>
                <w:rFonts w:asciiTheme="minorHAnsi" w:hAnsiTheme="minorHAnsi" w:cstheme="minorHAnsi"/>
              </w:rPr>
              <w:t>Is l</w:t>
            </w:r>
            <w:r w:rsidRPr="005221BA">
              <w:rPr>
                <w:rFonts w:asciiTheme="minorHAnsi" w:hAnsiTheme="minorHAnsi" w:cstheme="minorHAnsi"/>
              </w:rPr>
              <w:t>ife-threatening (places the subject at immediate risk of death from the event as it occurred)</w:t>
            </w:r>
          </w:p>
          <w:p w14:paraId="62EAAA41" w14:textId="2E1433BC" w:rsidR="005221BA" w:rsidRDefault="005221BA" w:rsidP="00215BEC">
            <w:pPr>
              <w:pStyle w:val="ListParagraph"/>
              <w:numPr>
                <w:ilvl w:val="1"/>
                <w:numId w:val="6"/>
              </w:numPr>
              <w:spacing w:after="0" w:line="240" w:lineRule="auto"/>
              <w:rPr>
                <w:rFonts w:asciiTheme="minorHAnsi" w:hAnsiTheme="minorHAnsi" w:cstheme="minorHAnsi"/>
              </w:rPr>
            </w:pPr>
            <w:r>
              <w:rPr>
                <w:rFonts w:asciiTheme="minorHAnsi" w:hAnsiTheme="minorHAnsi" w:cstheme="minorHAnsi"/>
              </w:rPr>
              <w:t xml:space="preserve">Results in </w:t>
            </w:r>
            <w:r w:rsidRPr="005221BA">
              <w:rPr>
                <w:rFonts w:asciiTheme="minorHAnsi" w:hAnsiTheme="minorHAnsi" w:cstheme="minorHAnsi"/>
              </w:rPr>
              <w:t>inpatient hospitalization or prolongation of existing hospitalization</w:t>
            </w:r>
          </w:p>
          <w:p w14:paraId="6A1ECCF2" w14:textId="0BF1E405" w:rsidR="005221BA" w:rsidRDefault="005221BA" w:rsidP="005221BA">
            <w:pPr>
              <w:pStyle w:val="ListParagraph"/>
              <w:numPr>
                <w:ilvl w:val="1"/>
                <w:numId w:val="6"/>
              </w:numPr>
              <w:spacing w:after="0" w:line="240" w:lineRule="auto"/>
              <w:rPr>
                <w:rFonts w:asciiTheme="minorHAnsi" w:hAnsiTheme="minorHAnsi" w:cstheme="minorHAnsi"/>
              </w:rPr>
            </w:pPr>
            <w:r>
              <w:rPr>
                <w:rFonts w:asciiTheme="minorHAnsi" w:hAnsiTheme="minorHAnsi" w:cstheme="minorHAnsi"/>
              </w:rPr>
              <w:t>Results in p</w:t>
            </w:r>
            <w:r w:rsidRPr="005221BA">
              <w:rPr>
                <w:rFonts w:asciiTheme="minorHAnsi" w:hAnsiTheme="minorHAnsi" w:cstheme="minorHAnsi"/>
              </w:rPr>
              <w:t>ersistent or significant disability/incapacity</w:t>
            </w:r>
          </w:p>
          <w:p w14:paraId="6F2078CF" w14:textId="72E48007" w:rsidR="005221BA" w:rsidRPr="005221BA" w:rsidRDefault="005221BA" w:rsidP="005221BA">
            <w:pPr>
              <w:pStyle w:val="ListParagraph"/>
              <w:numPr>
                <w:ilvl w:val="1"/>
                <w:numId w:val="6"/>
              </w:numPr>
              <w:spacing w:after="0" w:line="240" w:lineRule="auto"/>
              <w:rPr>
                <w:rFonts w:asciiTheme="minorHAnsi" w:hAnsiTheme="minorHAnsi" w:cstheme="minorHAnsi"/>
              </w:rPr>
            </w:pPr>
            <w:r>
              <w:rPr>
                <w:rFonts w:asciiTheme="minorHAnsi" w:hAnsiTheme="minorHAnsi" w:cstheme="minorHAnsi"/>
              </w:rPr>
              <w:t>Results in c</w:t>
            </w:r>
            <w:r w:rsidRPr="005221BA">
              <w:rPr>
                <w:rFonts w:asciiTheme="minorHAnsi" w:hAnsiTheme="minorHAnsi" w:cstheme="minorHAnsi"/>
              </w:rPr>
              <w:t>ongenital anomaly/birth defect</w:t>
            </w:r>
          </w:p>
          <w:p w14:paraId="49C866D9" w14:textId="0A745A3E" w:rsidR="00215BEC" w:rsidRDefault="005221BA" w:rsidP="00215BEC">
            <w:pPr>
              <w:pStyle w:val="ListParagraph"/>
              <w:numPr>
                <w:ilvl w:val="1"/>
                <w:numId w:val="6"/>
              </w:numPr>
              <w:spacing w:after="0" w:line="240" w:lineRule="auto"/>
              <w:rPr>
                <w:rFonts w:asciiTheme="minorHAnsi" w:hAnsiTheme="minorHAnsi" w:cstheme="minorHAnsi"/>
              </w:rPr>
            </w:pPr>
            <w:r>
              <w:rPr>
                <w:rFonts w:asciiTheme="minorHAnsi" w:hAnsiTheme="minorHAnsi" w:cstheme="minorHAnsi"/>
              </w:rPr>
              <w:t>B</w:t>
            </w:r>
            <w:r w:rsidRPr="005221BA">
              <w:rPr>
                <w:rFonts w:asciiTheme="minorHAnsi" w:hAnsiTheme="minorHAnsi" w:cstheme="minorHAnsi"/>
              </w:rPr>
              <w:t>ased upon appropriate medical judgment, may jeopardize the subject’s health and may require medical or surgical intervention to prevent one of the other outcomes listed in this definition</w:t>
            </w:r>
          </w:p>
        </w:tc>
      </w:tr>
      <w:tr w:rsidR="00215BEC" w14:paraId="77A2C012" w14:textId="77777777" w:rsidTr="00355416">
        <w:trPr>
          <w:cantSplit/>
        </w:trPr>
        <w:tc>
          <w:tcPr>
            <w:tcW w:w="919" w:type="pct"/>
            <w:tcBorders>
              <w:bottom w:val="single" w:sz="4" w:space="0" w:color="auto"/>
            </w:tcBorders>
            <w:vAlign w:val="center"/>
          </w:tcPr>
          <w:p w14:paraId="3432DD86" w14:textId="77777777" w:rsidR="00215BEC" w:rsidRPr="0089573A" w:rsidRDefault="00215BEC" w:rsidP="00215BEC">
            <w:pPr>
              <w:spacing w:after="0" w:line="240" w:lineRule="auto"/>
              <w:contextualSpacing/>
              <w:rPr>
                <w:rFonts w:asciiTheme="minorHAnsi" w:hAnsiTheme="minorHAnsi" w:cstheme="minorHAnsi"/>
              </w:rPr>
            </w:pPr>
            <w:r>
              <w:rPr>
                <w:rFonts w:asciiTheme="minorHAnsi" w:hAnsiTheme="minorHAnsi" w:cstheme="minorHAnsi"/>
              </w:rPr>
              <w:t>Resolved by</w:t>
            </w:r>
          </w:p>
        </w:tc>
        <w:tc>
          <w:tcPr>
            <w:tcW w:w="4081" w:type="pct"/>
            <w:gridSpan w:val="2"/>
            <w:tcBorders>
              <w:bottom w:val="single" w:sz="4" w:space="0" w:color="auto"/>
            </w:tcBorders>
            <w:vAlign w:val="center"/>
          </w:tcPr>
          <w:p w14:paraId="1E693ECA" w14:textId="5F447E2D" w:rsidR="00215BEC" w:rsidRPr="00373875" w:rsidRDefault="00215BEC" w:rsidP="00215BEC">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Death</w:t>
            </w:r>
          </w:p>
          <w:p w14:paraId="469A8E72" w14:textId="77777777" w:rsidR="00215BEC" w:rsidRDefault="00215BEC" w:rsidP="00215BEC">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 xml:space="preserve">Resolved without additional problems (without </w:t>
            </w:r>
            <w:r w:rsidRPr="00B75946">
              <w:rPr>
                <w:rFonts w:asciiTheme="minorHAnsi" w:hAnsiTheme="minorHAnsi" w:cstheme="minorHAnsi"/>
              </w:rPr>
              <w:t>sequelae</w:t>
            </w:r>
            <w:r>
              <w:rPr>
                <w:rFonts w:asciiTheme="minorHAnsi" w:hAnsiTheme="minorHAnsi" w:cstheme="minorHAnsi"/>
              </w:rPr>
              <w:t>)</w:t>
            </w:r>
          </w:p>
          <w:p w14:paraId="325774B2" w14:textId="77777777" w:rsidR="00215BEC" w:rsidRDefault="00215BEC" w:rsidP="00215BEC">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 xml:space="preserve">Resolved with additional problems (with </w:t>
            </w:r>
            <w:r w:rsidRPr="00B75946">
              <w:rPr>
                <w:rFonts w:asciiTheme="minorHAnsi" w:hAnsiTheme="minorHAnsi" w:cstheme="minorHAnsi"/>
              </w:rPr>
              <w:t>sequelae</w:t>
            </w:r>
            <w:r>
              <w:rPr>
                <w:rFonts w:asciiTheme="minorHAnsi" w:hAnsiTheme="minorHAnsi" w:cstheme="minorHAnsi"/>
              </w:rPr>
              <w:t>)</w:t>
            </w:r>
          </w:p>
          <w:p w14:paraId="60249CDD" w14:textId="77777777" w:rsidR="00215BEC" w:rsidRDefault="00215BEC" w:rsidP="00215BEC">
            <w:pPr>
              <w:pStyle w:val="ListParagraph"/>
              <w:numPr>
                <w:ilvl w:val="0"/>
                <w:numId w:val="7"/>
              </w:numPr>
              <w:spacing w:after="0" w:line="240" w:lineRule="auto"/>
              <w:rPr>
                <w:rFonts w:asciiTheme="minorHAnsi" w:hAnsiTheme="minorHAnsi" w:cstheme="minorHAnsi"/>
              </w:rPr>
            </w:pPr>
            <w:r>
              <w:rPr>
                <w:rFonts w:asciiTheme="minorHAnsi" w:hAnsiTheme="minorHAnsi" w:cstheme="minorHAnsi"/>
              </w:rPr>
              <w:t>Resolved by convention (ongoing 30 days post last study visit)</w:t>
            </w:r>
          </w:p>
        </w:tc>
      </w:tr>
      <w:tr w:rsidR="00355416" w14:paraId="073F4A90" w14:textId="77777777" w:rsidTr="00355416">
        <w:trPr>
          <w:cantSplit/>
        </w:trPr>
        <w:tc>
          <w:tcPr>
            <w:tcW w:w="919" w:type="pct"/>
            <w:vAlign w:val="center"/>
          </w:tcPr>
          <w:p w14:paraId="4FB6BCEE" w14:textId="5AA252F8" w:rsidR="00355416" w:rsidRDefault="00393941" w:rsidP="00355416">
            <w:pPr>
              <w:spacing w:after="0" w:line="240" w:lineRule="auto"/>
              <w:contextualSpacing/>
              <w:rPr>
                <w:rFonts w:asciiTheme="minorHAnsi" w:hAnsiTheme="minorHAnsi" w:cstheme="minorHAnsi"/>
              </w:rPr>
            </w:pPr>
            <w:r>
              <w:rPr>
                <w:rFonts w:asciiTheme="minorHAnsi" w:hAnsiTheme="minorHAnsi" w:cstheme="minorHAnsi"/>
              </w:rPr>
              <w:t xml:space="preserve">IRB </w:t>
            </w:r>
            <w:r w:rsidR="00355416">
              <w:rPr>
                <w:rFonts w:asciiTheme="minorHAnsi" w:hAnsiTheme="minorHAnsi" w:cstheme="minorHAnsi"/>
              </w:rPr>
              <w:t>Reporting Assessment Criteria</w:t>
            </w:r>
          </w:p>
          <w:p w14:paraId="0908BF07" w14:textId="77777777" w:rsidR="00355416" w:rsidRDefault="00355416" w:rsidP="00355416">
            <w:pPr>
              <w:spacing w:after="0" w:line="240" w:lineRule="auto"/>
              <w:contextualSpacing/>
              <w:rPr>
                <w:rFonts w:asciiTheme="minorHAnsi" w:hAnsiTheme="minorHAnsi" w:cstheme="minorHAnsi"/>
              </w:rPr>
            </w:pPr>
          </w:p>
        </w:tc>
        <w:tc>
          <w:tcPr>
            <w:tcW w:w="4081" w:type="pct"/>
            <w:gridSpan w:val="2"/>
            <w:vAlign w:val="center"/>
          </w:tcPr>
          <w:p w14:paraId="574DFFF2" w14:textId="41E935ED" w:rsidR="00D5748C" w:rsidRDefault="00D5748C" w:rsidP="00355416">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I</w:t>
            </w:r>
            <w:r w:rsidRPr="00D5748C">
              <w:rPr>
                <w:rFonts w:asciiTheme="minorHAnsi" w:hAnsiTheme="minorHAnsi" w:cstheme="minorHAnsi"/>
              </w:rPr>
              <w:t xml:space="preserve">s </w:t>
            </w:r>
            <w:r w:rsidRPr="00D5748C">
              <w:rPr>
                <w:rFonts w:asciiTheme="minorHAnsi" w:hAnsiTheme="minorHAnsi" w:cstheme="minorHAnsi"/>
                <w:i/>
                <w:iCs/>
                <w:u w:val="single"/>
              </w:rPr>
              <w:t>unexpected</w:t>
            </w:r>
          </w:p>
          <w:p w14:paraId="36DCF218" w14:textId="1E8D48BA" w:rsidR="00D5748C" w:rsidRDefault="00D5748C" w:rsidP="00355416">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I</w:t>
            </w:r>
            <w:r w:rsidRPr="00D5748C">
              <w:rPr>
                <w:rFonts w:asciiTheme="minorHAnsi" w:hAnsiTheme="minorHAnsi" w:cstheme="minorHAnsi"/>
              </w:rPr>
              <w:t xml:space="preserve">s </w:t>
            </w:r>
            <w:r w:rsidRPr="00D5748C">
              <w:rPr>
                <w:rFonts w:asciiTheme="minorHAnsi" w:hAnsiTheme="minorHAnsi" w:cstheme="minorHAnsi"/>
                <w:i/>
                <w:iCs/>
                <w:u w:val="single"/>
              </w:rPr>
              <w:t>related or possibly related</w:t>
            </w:r>
            <w:r w:rsidRPr="00D5748C">
              <w:rPr>
                <w:rFonts w:asciiTheme="minorHAnsi" w:hAnsiTheme="minorHAnsi" w:cstheme="minorHAnsi"/>
              </w:rPr>
              <w:t xml:space="preserve"> to participation in the research</w:t>
            </w:r>
          </w:p>
          <w:p w14:paraId="2D8EC6F8" w14:textId="4649C9F1" w:rsidR="00355416" w:rsidRDefault="00D5748C" w:rsidP="00D5748C">
            <w:pPr>
              <w:pStyle w:val="ListParagraph"/>
              <w:numPr>
                <w:ilvl w:val="0"/>
                <w:numId w:val="12"/>
              </w:numPr>
              <w:spacing w:after="0" w:line="240" w:lineRule="auto"/>
              <w:rPr>
                <w:rFonts w:asciiTheme="minorHAnsi" w:hAnsiTheme="minorHAnsi" w:cstheme="minorHAnsi"/>
              </w:rPr>
            </w:pPr>
            <w:r>
              <w:rPr>
                <w:rFonts w:asciiTheme="minorHAnsi" w:hAnsiTheme="minorHAnsi" w:cstheme="minorHAnsi"/>
              </w:rPr>
              <w:t>S</w:t>
            </w:r>
            <w:r w:rsidRPr="00D5748C">
              <w:rPr>
                <w:rFonts w:asciiTheme="minorHAnsi" w:hAnsiTheme="minorHAnsi" w:cstheme="minorHAnsi"/>
              </w:rPr>
              <w:t xml:space="preserve">uggests that the research </w:t>
            </w:r>
            <w:r w:rsidRPr="00D5748C">
              <w:rPr>
                <w:rFonts w:asciiTheme="minorHAnsi" w:hAnsiTheme="minorHAnsi" w:cstheme="minorHAnsi"/>
                <w:i/>
                <w:iCs/>
                <w:u w:val="single"/>
              </w:rPr>
              <w:t>places participant or others at a greater risk of harm</w:t>
            </w:r>
            <w:r w:rsidRPr="00D5748C">
              <w:rPr>
                <w:rFonts w:asciiTheme="minorHAnsi" w:hAnsiTheme="minorHAnsi" w:cstheme="minorHAnsi"/>
              </w:rPr>
              <w:t xml:space="preserve"> (including physical, psychological, economic, or social harm) than was previously known or recognized</w:t>
            </w:r>
          </w:p>
          <w:p w14:paraId="5608D898" w14:textId="77777777" w:rsidR="00D5748C" w:rsidRPr="00D5748C" w:rsidRDefault="00D5748C" w:rsidP="00D5748C">
            <w:pPr>
              <w:pStyle w:val="ListParagraph"/>
              <w:spacing w:after="0" w:line="240" w:lineRule="auto"/>
              <w:ind w:left="360"/>
              <w:rPr>
                <w:rFonts w:asciiTheme="minorHAnsi" w:hAnsiTheme="minorHAnsi" w:cstheme="minorHAnsi"/>
              </w:rPr>
            </w:pPr>
          </w:p>
          <w:p w14:paraId="51AC9059" w14:textId="29563B56" w:rsidR="00D5748C" w:rsidRPr="00D5748C" w:rsidRDefault="00D5748C" w:rsidP="00D5748C">
            <w:pPr>
              <w:spacing w:after="0" w:line="240" w:lineRule="auto"/>
              <w:rPr>
                <w:rFonts w:asciiTheme="minorHAnsi" w:hAnsiTheme="minorHAnsi" w:cstheme="minorHAnsi"/>
                <w:i/>
              </w:rPr>
            </w:pPr>
            <w:r w:rsidRPr="00D5748C">
              <w:rPr>
                <w:rFonts w:asciiTheme="minorHAnsi" w:hAnsiTheme="minorHAnsi" w:cstheme="minorHAnsi"/>
                <w:i/>
              </w:rPr>
              <w:t xml:space="preserve">IF </w:t>
            </w:r>
            <w:r w:rsidRPr="00D5748C">
              <w:rPr>
                <w:rFonts w:asciiTheme="minorHAnsi" w:hAnsiTheme="minorHAnsi" w:cstheme="minorHAnsi"/>
                <w:i/>
                <w:u w:val="single"/>
              </w:rPr>
              <w:t>ALL THREE</w:t>
            </w:r>
            <w:r w:rsidRPr="00D5748C">
              <w:rPr>
                <w:rFonts w:asciiTheme="minorHAnsi" w:hAnsiTheme="minorHAnsi" w:cstheme="minorHAnsi"/>
                <w:i/>
              </w:rPr>
              <w:t xml:space="preserve"> ARE CHECKED </w:t>
            </w:r>
            <w:r w:rsidRPr="00D5748C">
              <w:rPr>
                <w:rFonts w:asciiTheme="minorHAnsi" w:hAnsiTheme="minorHAnsi" w:cstheme="minorHAnsi"/>
                <w:i/>
              </w:rPr>
              <w:sym w:font="Wingdings" w:char="F0E0"/>
            </w:r>
          </w:p>
          <w:p w14:paraId="73D6E2E4" w14:textId="5198E635" w:rsidR="00355416" w:rsidRPr="00D5748C" w:rsidRDefault="00D5748C" w:rsidP="00D5748C">
            <w:pPr>
              <w:pStyle w:val="ListParagraph"/>
              <w:numPr>
                <w:ilvl w:val="0"/>
                <w:numId w:val="16"/>
              </w:numPr>
              <w:spacing w:after="0" w:line="240" w:lineRule="auto"/>
              <w:rPr>
                <w:rFonts w:asciiTheme="minorHAnsi" w:hAnsiTheme="minorHAnsi" w:cstheme="minorHAnsi"/>
                <w:i/>
              </w:rPr>
            </w:pPr>
            <w:r w:rsidRPr="00D5748C">
              <w:rPr>
                <w:rFonts w:asciiTheme="minorHAnsi" w:hAnsiTheme="minorHAnsi" w:cstheme="minorHAnsi"/>
                <w:i/>
              </w:rPr>
              <w:t>IS PROMPTLY REPORTABLE TO BU MEDICAL CAMPUS/BMC IRB WITHIN 7 DAYS OF BECOMING AWARE OF EVENT</w:t>
            </w:r>
            <w:r w:rsidR="007774F7">
              <w:rPr>
                <w:rFonts w:asciiTheme="minorHAnsi" w:hAnsiTheme="minorHAnsi" w:cstheme="minorHAnsi"/>
                <w:i/>
              </w:rPr>
              <w:t xml:space="preserve"> (regardless if another IRB is the IRB of record)</w:t>
            </w:r>
          </w:p>
          <w:p w14:paraId="2F9521D2" w14:textId="7CACB799" w:rsidR="00D5748C" w:rsidRPr="00D5748C" w:rsidRDefault="00D5748C" w:rsidP="00D5748C">
            <w:pPr>
              <w:pStyle w:val="ListParagraph"/>
              <w:numPr>
                <w:ilvl w:val="0"/>
                <w:numId w:val="16"/>
              </w:numPr>
              <w:spacing w:after="0" w:line="240" w:lineRule="auto"/>
              <w:rPr>
                <w:rFonts w:asciiTheme="minorHAnsi" w:hAnsiTheme="minorHAnsi" w:cstheme="minorHAnsi"/>
              </w:rPr>
            </w:pPr>
            <w:r w:rsidRPr="00D5748C">
              <w:rPr>
                <w:rFonts w:asciiTheme="minorHAnsi" w:hAnsiTheme="minorHAnsi" w:cstheme="minorHAnsi"/>
                <w:i/>
              </w:rPr>
              <w:t>IS CONSIDERED AN UNANTICIPATED PROBLEM</w:t>
            </w:r>
          </w:p>
        </w:tc>
      </w:tr>
      <w:tr w:rsidR="005B1FC1" w14:paraId="182B534B" w14:textId="77777777" w:rsidTr="007774F7">
        <w:trPr>
          <w:trHeight w:val="432"/>
        </w:trPr>
        <w:tc>
          <w:tcPr>
            <w:tcW w:w="5000" w:type="pct"/>
            <w:gridSpan w:val="3"/>
            <w:shd w:val="clear" w:color="auto" w:fill="D9D9D9" w:themeFill="background1" w:themeFillShade="D9"/>
            <w:vAlign w:val="center"/>
          </w:tcPr>
          <w:p w14:paraId="39AF610F" w14:textId="57B9DE64" w:rsidR="005B1FC1" w:rsidRPr="005B1FC1" w:rsidRDefault="005B1FC1" w:rsidP="005B1FC1">
            <w:pPr>
              <w:pBdr>
                <w:top w:val="nil"/>
                <w:left w:val="nil"/>
                <w:bottom w:val="nil"/>
                <w:right w:val="nil"/>
                <w:between w:val="nil"/>
              </w:pBdr>
              <w:spacing w:after="0" w:line="240" w:lineRule="auto"/>
              <w:ind w:left="-20"/>
              <w:contextualSpacing/>
              <w:rPr>
                <w:rFonts w:asciiTheme="minorHAnsi" w:hAnsiTheme="minorHAnsi" w:cstheme="minorHAnsi"/>
                <w:color w:val="000000"/>
              </w:rPr>
            </w:pPr>
            <w:r w:rsidRPr="005B1FC1">
              <w:rPr>
                <w:rFonts w:asciiTheme="minorHAnsi" w:hAnsiTheme="minorHAnsi" w:cstheme="minorHAnsi"/>
                <w:b/>
                <w:color w:val="000000"/>
              </w:rPr>
              <w:lastRenderedPageBreak/>
              <w:t>Promptly Reportable Events</w:t>
            </w:r>
          </w:p>
        </w:tc>
      </w:tr>
      <w:tr w:rsidR="00215BEC" w14:paraId="208BE05B" w14:textId="77777777" w:rsidTr="00355416">
        <w:tc>
          <w:tcPr>
            <w:tcW w:w="2873" w:type="pct"/>
            <w:gridSpan w:val="2"/>
            <w:vAlign w:val="center"/>
          </w:tcPr>
          <w:p w14:paraId="51272BBA" w14:textId="32B103EE" w:rsidR="00215BEC" w:rsidRDefault="005B1FC1" w:rsidP="00215BEC">
            <w:pPr>
              <w:spacing w:after="0" w:line="240" w:lineRule="auto"/>
              <w:contextualSpacing/>
            </w:pPr>
            <w:r>
              <w:t xml:space="preserve">Promptly Reportable to </w:t>
            </w:r>
            <w:r w:rsidR="007774F7" w:rsidRPr="007774F7">
              <w:t>BU MEDICAL CAMPUS/BMC IRB</w:t>
            </w:r>
          </w:p>
        </w:tc>
        <w:tc>
          <w:tcPr>
            <w:tcW w:w="2127" w:type="pct"/>
            <w:vAlign w:val="center"/>
          </w:tcPr>
          <w:p w14:paraId="66C56359" w14:textId="77777777" w:rsidR="00215BEC" w:rsidRDefault="00215BEC" w:rsidP="00215BEC">
            <w:pPr>
              <w:numPr>
                <w:ilvl w:val="0"/>
                <w:numId w:val="9"/>
              </w:numPr>
              <w:pBdr>
                <w:top w:val="nil"/>
                <w:left w:val="nil"/>
                <w:bottom w:val="nil"/>
                <w:right w:val="nil"/>
                <w:between w:val="nil"/>
              </w:pBdr>
              <w:spacing w:after="0" w:line="240" w:lineRule="auto"/>
              <w:contextualSpacing/>
              <w:rPr>
                <w:color w:val="000000"/>
              </w:rPr>
            </w:pPr>
            <w:r>
              <w:rPr>
                <w:color w:val="000000"/>
              </w:rPr>
              <w:t>Yes – Date Reported:</w:t>
            </w:r>
            <w:r>
              <w:rPr>
                <w:noProof/>
              </w:rPr>
              <w:t xml:space="preserve"> __________________</w:t>
            </w:r>
          </w:p>
          <w:p w14:paraId="3D8132EF" w14:textId="77777777" w:rsidR="00215BEC" w:rsidRDefault="00215BEC" w:rsidP="00215BEC">
            <w:pPr>
              <w:numPr>
                <w:ilvl w:val="0"/>
                <w:numId w:val="9"/>
              </w:numPr>
              <w:pBdr>
                <w:top w:val="nil"/>
                <w:left w:val="nil"/>
                <w:bottom w:val="nil"/>
                <w:right w:val="nil"/>
                <w:between w:val="nil"/>
              </w:pBdr>
              <w:spacing w:after="0" w:line="240" w:lineRule="auto"/>
              <w:contextualSpacing/>
              <w:rPr>
                <w:color w:val="000000"/>
              </w:rPr>
            </w:pPr>
            <w:r>
              <w:rPr>
                <w:color w:val="000000"/>
              </w:rPr>
              <w:t>No</w:t>
            </w:r>
          </w:p>
        </w:tc>
      </w:tr>
      <w:tr w:rsidR="00215BEC" w14:paraId="02D973DF" w14:textId="77777777" w:rsidTr="00355416">
        <w:tc>
          <w:tcPr>
            <w:tcW w:w="2873" w:type="pct"/>
            <w:gridSpan w:val="2"/>
            <w:vAlign w:val="center"/>
          </w:tcPr>
          <w:p w14:paraId="4F5E8F4B" w14:textId="13BB0208" w:rsidR="00215BEC" w:rsidRPr="007774F7" w:rsidRDefault="00215BEC" w:rsidP="00215BEC">
            <w:pPr>
              <w:spacing w:line="240" w:lineRule="auto"/>
              <w:contextualSpacing/>
            </w:pPr>
            <w:r>
              <w:t xml:space="preserve">Promptly Reportable to </w:t>
            </w:r>
            <w:commentRangeStart w:id="5"/>
            <w:r w:rsidR="007774F7" w:rsidRPr="007774F7">
              <w:rPr>
                <w:color w:val="FF0000"/>
              </w:rPr>
              <w:t>[Insert Other Authority]</w:t>
            </w:r>
            <w:commentRangeEnd w:id="5"/>
            <w:r w:rsidR="007774F7">
              <w:rPr>
                <w:rStyle w:val="CommentReference"/>
                <w:rFonts w:ascii="Times New Roman" w:hAnsi="Times New Roman"/>
              </w:rPr>
              <w:commentReference w:id="5"/>
            </w:r>
          </w:p>
        </w:tc>
        <w:tc>
          <w:tcPr>
            <w:tcW w:w="2127" w:type="pct"/>
            <w:vAlign w:val="center"/>
          </w:tcPr>
          <w:p w14:paraId="79AC128C" w14:textId="77777777" w:rsidR="00215BEC" w:rsidRDefault="00215BEC" w:rsidP="00215BEC">
            <w:pPr>
              <w:numPr>
                <w:ilvl w:val="0"/>
                <w:numId w:val="9"/>
              </w:numPr>
              <w:pBdr>
                <w:top w:val="nil"/>
                <w:left w:val="nil"/>
                <w:bottom w:val="nil"/>
                <w:right w:val="nil"/>
                <w:between w:val="nil"/>
              </w:pBdr>
              <w:spacing w:after="0" w:line="240" w:lineRule="auto"/>
              <w:contextualSpacing/>
              <w:rPr>
                <w:color w:val="000000"/>
              </w:rPr>
            </w:pPr>
            <w:r>
              <w:rPr>
                <w:color w:val="000000"/>
              </w:rPr>
              <w:t>Yes – Date Reported:</w:t>
            </w:r>
            <w:r>
              <w:rPr>
                <w:noProof/>
              </w:rPr>
              <w:t xml:space="preserve"> __________________</w:t>
            </w:r>
          </w:p>
          <w:p w14:paraId="5950910D" w14:textId="77777777" w:rsidR="00215BEC" w:rsidRDefault="00215BEC" w:rsidP="00215BEC">
            <w:pPr>
              <w:numPr>
                <w:ilvl w:val="0"/>
                <w:numId w:val="9"/>
              </w:numPr>
              <w:pBdr>
                <w:top w:val="nil"/>
                <w:left w:val="nil"/>
                <w:bottom w:val="nil"/>
                <w:right w:val="nil"/>
                <w:between w:val="nil"/>
              </w:pBdr>
              <w:spacing w:after="0" w:line="240" w:lineRule="auto"/>
              <w:contextualSpacing/>
              <w:rPr>
                <w:color w:val="000000"/>
              </w:rPr>
            </w:pPr>
            <w:r>
              <w:rPr>
                <w:color w:val="000000"/>
              </w:rPr>
              <w:t>No</w:t>
            </w:r>
          </w:p>
        </w:tc>
      </w:tr>
      <w:tr w:rsidR="00215BEC" w14:paraId="25EC5EDD" w14:textId="77777777" w:rsidTr="00355416">
        <w:tc>
          <w:tcPr>
            <w:tcW w:w="2873" w:type="pct"/>
            <w:gridSpan w:val="2"/>
            <w:tcBorders>
              <w:bottom w:val="single" w:sz="4" w:space="0" w:color="auto"/>
            </w:tcBorders>
            <w:vAlign w:val="center"/>
          </w:tcPr>
          <w:p w14:paraId="66DCDF3F" w14:textId="2BBE6CBB" w:rsidR="00215BEC" w:rsidRPr="007774F7" w:rsidRDefault="007774F7" w:rsidP="00215BEC">
            <w:pPr>
              <w:spacing w:line="240" w:lineRule="auto"/>
              <w:contextualSpacing/>
            </w:pPr>
            <w:r>
              <w:t xml:space="preserve">Promptly Reportable to </w:t>
            </w:r>
            <w:r w:rsidRPr="007774F7">
              <w:rPr>
                <w:color w:val="FF0000"/>
              </w:rPr>
              <w:t>[Insert Other Authority]</w:t>
            </w:r>
          </w:p>
        </w:tc>
        <w:tc>
          <w:tcPr>
            <w:tcW w:w="2127" w:type="pct"/>
            <w:tcBorders>
              <w:bottom w:val="single" w:sz="4" w:space="0" w:color="auto"/>
            </w:tcBorders>
            <w:vAlign w:val="center"/>
          </w:tcPr>
          <w:p w14:paraId="426D6301" w14:textId="77777777" w:rsidR="00215BEC" w:rsidRDefault="00215BEC" w:rsidP="00215BEC">
            <w:pPr>
              <w:numPr>
                <w:ilvl w:val="0"/>
                <w:numId w:val="9"/>
              </w:numPr>
              <w:pBdr>
                <w:top w:val="nil"/>
                <w:left w:val="nil"/>
                <w:bottom w:val="nil"/>
                <w:right w:val="nil"/>
                <w:between w:val="nil"/>
              </w:pBdr>
              <w:spacing w:after="0" w:line="240" w:lineRule="auto"/>
              <w:contextualSpacing/>
              <w:rPr>
                <w:color w:val="000000"/>
              </w:rPr>
            </w:pPr>
            <w:r>
              <w:rPr>
                <w:color w:val="000000"/>
              </w:rPr>
              <w:t>Yes – Date Reported:</w:t>
            </w:r>
            <w:r>
              <w:rPr>
                <w:noProof/>
              </w:rPr>
              <w:t xml:space="preserve"> __________________</w:t>
            </w:r>
          </w:p>
          <w:p w14:paraId="797C0583" w14:textId="77777777" w:rsidR="00215BEC" w:rsidRDefault="00215BEC" w:rsidP="00215BEC">
            <w:pPr>
              <w:numPr>
                <w:ilvl w:val="0"/>
                <w:numId w:val="9"/>
              </w:numPr>
              <w:pBdr>
                <w:top w:val="nil"/>
                <w:left w:val="nil"/>
                <w:bottom w:val="nil"/>
                <w:right w:val="nil"/>
                <w:between w:val="nil"/>
              </w:pBdr>
              <w:spacing w:after="0" w:line="240" w:lineRule="auto"/>
              <w:contextualSpacing/>
              <w:rPr>
                <w:color w:val="000000"/>
              </w:rPr>
            </w:pPr>
            <w:r>
              <w:rPr>
                <w:color w:val="000000"/>
              </w:rPr>
              <w:t>No</w:t>
            </w:r>
          </w:p>
        </w:tc>
      </w:tr>
      <w:tr w:rsidR="005B1FC1" w:rsidRPr="000B7911" w14:paraId="34886637" w14:textId="77777777" w:rsidTr="005B1FC1">
        <w:trPr>
          <w:trHeight w:val="432"/>
        </w:trPr>
        <w:tc>
          <w:tcPr>
            <w:tcW w:w="5000" w:type="pct"/>
            <w:gridSpan w:val="3"/>
            <w:shd w:val="clear" w:color="auto" w:fill="D9D9D9" w:themeFill="background1" w:themeFillShade="D9"/>
            <w:vAlign w:val="center"/>
          </w:tcPr>
          <w:p w14:paraId="780009E4" w14:textId="77777777" w:rsidR="005B1FC1" w:rsidRPr="005B1FC1" w:rsidRDefault="005B1FC1" w:rsidP="00215BEC">
            <w:pPr>
              <w:spacing w:after="0" w:line="240" w:lineRule="auto"/>
              <w:contextualSpacing/>
              <w:rPr>
                <w:rFonts w:asciiTheme="minorHAnsi" w:hAnsiTheme="minorHAnsi" w:cstheme="minorHAnsi"/>
                <w:b/>
              </w:rPr>
            </w:pPr>
            <w:r w:rsidRPr="005B1FC1">
              <w:rPr>
                <w:rFonts w:asciiTheme="minorHAnsi" w:hAnsiTheme="minorHAnsi" w:cstheme="minorHAnsi"/>
                <w:b/>
              </w:rPr>
              <w:t>Form Completion</w:t>
            </w:r>
          </w:p>
        </w:tc>
      </w:tr>
      <w:tr w:rsidR="00215BEC" w:rsidRPr="000B7911" w14:paraId="2F9A239A" w14:textId="77777777" w:rsidTr="00847E87">
        <w:trPr>
          <w:trHeight w:val="1925"/>
        </w:trPr>
        <w:tc>
          <w:tcPr>
            <w:tcW w:w="5000" w:type="pct"/>
            <w:gridSpan w:val="3"/>
            <w:vAlign w:val="center"/>
          </w:tcPr>
          <w:p w14:paraId="1F9A3B7B" w14:textId="77777777" w:rsidR="00215BEC" w:rsidRDefault="00215BEC" w:rsidP="00215BEC">
            <w:pPr>
              <w:spacing w:after="0" w:line="240" w:lineRule="auto"/>
              <w:contextualSpacing/>
              <w:rPr>
                <w:rFonts w:asciiTheme="minorHAnsi" w:hAnsiTheme="minorHAnsi" w:cstheme="minorHAnsi"/>
                <w:u w:val="single"/>
              </w:rPr>
            </w:pPr>
          </w:p>
          <w:p w14:paraId="5E1BE7E7" w14:textId="4FA2677C" w:rsidR="00847E87" w:rsidRPr="00847E87" w:rsidRDefault="00847E87" w:rsidP="00215BEC">
            <w:pPr>
              <w:spacing w:after="0" w:line="240" w:lineRule="auto"/>
              <w:contextualSpacing/>
              <w:rPr>
                <w:rFonts w:asciiTheme="minorHAnsi" w:hAnsiTheme="minorHAnsi" w:cstheme="minorHAnsi"/>
                <w:u w:val="single"/>
              </w:rPr>
            </w:pPr>
            <w:r w:rsidRPr="00847E87">
              <w:rPr>
                <w:rFonts w:asciiTheme="minorHAnsi" w:hAnsiTheme="minorHAnsi" w:cstheme="minorHAnsi"/>
                <w:b/>
                <w:bCs/>
                <w:u w:val="single"/>
              </w:rPr>
              <w:t>STAFF COMPLETING FORM</w:t>
            </w:r>
          </w:p>
          <w:p w14:paraId="5EC76FAA" w14:textId="77777777" w:rsidR="00847E87" w:rsidRDefault="00847E87" w:rsidP="00215BEC">
            <w:pPr>
              <w:spacing w:after="0" w:line="240" w:lineRule="auto"/>
              <w:contextualSpacing/>
              <w:rPr>
                <w:rFonts w:asciiTheme="minorHAnsi" w:hAnsiTheme="minorHAnsi" w:cstheme="minorHAnsi"/>
              </w:rPr>
            </w:pPr>
          </w:p>
          <w:p w14:paraId="408B1827" w14:textId="04F56869" w:rsidR="007774F7" w:rsidRPr="009511E3" w:rsidRDefault="00847E87" w:rsidP="007774F7">
            <w:pPr>
              <w:spacing w:after="0" w:line="240" w:lineRule="auto"/>
              <w:contextualSpacing/>
              <w:rPr>
                <w:rFonts w:asciiTheme="minorHAnsi" w:hAnsiTheme="minorHAnsi" w:cstheme="minorHAnsi"/>
              </w:rPr>
            </w:pPr>
            <w:r>
              <w:rPr>
                <w:rFonts w:asciiTheme="minorHAnsi" w:hAnsiTheme="minorHAnsi" w:cstheme="minorHAnsi"/>
              </w:rPr>
              <w:t xml:space="preserve">Printed Name: </w:t>
            </w:r>
            <w:r w:rsidR="00215BEC">
              <w:rPr>
                <w:rFonts w:asciiTheme="minorHAnsi" w:hAnsiTheme="minorHAnsi" w:cstheme="minorHAnsi"/>
              </w:rPr>
              <w:t>___________</w:t>
            </w:r>
            <w:r w:rsidR="00215BEC" w:rsidRPr="009511E3">
              <w:rPr>
                <w:rFonts w:asciiTheme="minorHAnsi" w:hAnsiTheme="minorHAnsi" w:cstheme="minorHAnsi"/>
              </w:rPr>
              <w:t>_____</w:t>
            </w:r>
            <w:r>
              <w:rPr>
                <w:rFonts w:asciiTheme="minorHAnsi" w:hAnsiTheme="minorHAnsi" w:cstheme="minorHAnsi"/>
              </w:rPr>
              <w:t>____</w:t>
            </w:r>
            <w:r w:rsidR="00215BEC" w:rsidRPr="009511E3">
              <w:rPr>
                <w:rFonts w:asciiTheme="minorHAnsi" w:hAnsiTheme="minorHAnsi" w:cstheme="minorHAnsi"/>
              </w:rPr>
              <w:t>__</w:t>
            </w:r>
            <w:r w:rsidR="00215BEC">
              <w:rPr>
                <w:rFonts w:asciiTheme="minorHAnsi" w:hAnsiTheme="minorHAnsi" w:cstheme="minorHAnsi"/>
              </w:rPr>
              <w:softHyphen/>
            </w:r>
            <w:r w:rsidR="00215BEC">
              <w:rPr>
                <w:rFonts w:asciiTheme="minorHAnsi" w:hAnsiTheme="minorHAnsi" w:cstheme="minorHAnsi"/>
              </w:rPr>
              <w:softHyphen/>
            </w:r>
            <w:r w:rsidR="00215BEC">
              <w:rPr>
                <w:rFonts w:asciiTheme="minorHAnsi" w:hAnsiTheme="minorHAnsi" w:cstheme="minorHAnsi"/>
              </w:rPr>
              <w:softHyphen/>
            </w:r>
            <w:r w:rsidR="00215BEC" w:rsidRPr="009511E3">
              <w:rPr>
                <w:rFonts w:asciiTheme="minorHAnsi" w:hAnsiTheme="minorHAnsi" w:cstheme="minorHAnsi"/>
              </w:rPr>
              <w:t>____</w:t>
            </w:r>
            <w:r w:rsidR="00D35E23" w:rsidRPr="009511E3">
              <w:rPr>
                <w:rFonts w:asciiTheme="minorHAnsi" w:hAnsiTheme="minorHAnsi" w:cstheme="minorHAnsi"/>
              </w:rPr>
              <w:t xml:space="preserve">_ </w:t>
            </w:r>
            <w:r>
              <w:rPr>
                <w:rFonts w:asciiTheme="minorHAnsi" w:hAnsiTheme="minorHAnsi" w:cstheme="minorHAnsi"/>
              </w:rPr>
              <w:t>Signature</w:t>
            </w:r>
            <w:r w:rsidR="00215BEC">
              <w:rPr>
                <w:rFonts w:asciiTheme="minorHAnsi" w:hAnsiTheme="minorHAnsi" w:cstheme="minorHAnsi"/>
              </w:rPr>
              <w:t>: ________</w:t>
            </w:r>
            <w:r w:rsidR="00215BEC">
              <w:rPr>
                <w:rFonts w:asciiTheme="minorHAnsi" w:hAnsiTheme="minorHAnsi" w:cstheme="minorHAnsi"/>
              </w:rPr>
              <w:softHyphen/>
            </w:r>
            <w:r w:rsidR="00215BEC">
              <w:rPr>
                <w:rFonts w:asciiTheme="minorHAnsi" w:hAnsiTheme="minorHAnsi" w:cstheme="minorHAnsi"/>
              </w:rPr>
              <w:softHyphen/>
            </w:r>
            <w:r w:rsidR="00215BEC">
              <w:rPr>
                <w:rFonts w:asciiTheme="minorHAnsi" w:hAnsiTheme="minorHAnsi" w:cstheme="minorHAnsi"/>
              </w:rPr>
              <w:softHyphen/>
            </w:r>
            <w:r w:rsidR="00215BEC">
              <w:rPr>
                <w:rFonts w:asciiTheme="minorHAnsi" w:hAnsiTheme="minorHAnsi" w:cstheme="minorHAnsi"/>
              </w:rPr>
              <w:softHyphen/>
              <w:t>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w:t>
            </w:r>
            <w:r w:rsidR="00215BEC">
              <w:rPr>
                <w:rFonts w:asciiTheme="minorHAnsi" w:hAnsiTheme="minorHAnsi" w:cstheme="minorHAnsi"/>
              </w:rPr>
              <w:t>__</w:t>
            </w:r>
            <w:r w:rsidR="00215BEC" w:rsidRPr="009511E3">
              <w:rPr>
                <w:rFonts w:asciiTheme="minorHAnsi" w:hAnsiTheme="minorHAnsi" w:cstheme="minorHAnsi"/>
              </w:rPr>
              <w:t>__</w:t>
            </w:r>
            <w:r w:rsidR="00215BEC">
              <w:rPr>
                <w:rFonts w:asciiTheme="minorHAnsi" w:hAnsiTheme="minorHAnsi" w:cstheme="minorHAnsi"/>
              </w:rPr>
              <w:softHyphen/>
            </w:r>
            <w:r w:rsidR="00215BEC">
              <w:rPr>
                <w:rFonts w:asciiTheme="minorHAnsi" w:hAnsiTheme="minorHAnsi" w:cstheme="minorHAnsi"/>
              </w:rPr>
              <w:softHyphen/>
            </w:r>
            <w:r w:rsidR="00215BEC">
              <w:rPr>
                <w:rFonts w:asciiTheme="minorHAnsi" w:hAnsiTheme="minorHAnsi" w:cstheme="minorHAnsi"/>
              </w:rPr>
              <w:softHyphen/>
            </w:r>
            <w:r w:rsidR="00215BEC">
              <w:rPr>
                <w:rFonts w:asciiTheme="minorHAnsi" w:hAnsiTheme="minorHAnsi" w:cstheme="minorHAnsi"/>
              </w:rPr>
              <w:softHyphen/>
            </w:r>
            <w:r w:rsidR="00215BEC">
              <w:rPr>
                <w:rFonts w:asciiTheme="minorHAnsi" w:hAnsiTheme="minorHAnsi" w:cstheme="minorHAnsi"/>
              </w:rPr>
              <w:softHyphen/>
              <w:t>___</w:t>
            </w:r>
            <w:r w:rsidR="00215BEC" w:rsidRPr="009511E3">
              <w:rPr>
                <w:rFonts w:asciiTheme="minorHAnsi" w:hAnsiTheme="minorHAnsi" w:cstheme="minorHAnsi"/>
              </w:rPr>
              <w:t>______</w:t>
            </w:r>
            <w:r>
              <w:rPr>
                <w:rFonts w:asciiTheme="minorHAnsi" w:hAnsiTheme="minorHAnsi" w:cstheme="minorHAnsi"/>
              </w:rPr>
              <w:t xml:space="preserve"> </w:t>
            </w:r>
            <w:r w:rsidR="007774F7" w:rsidRPr="009511E3">
              <w:rPr>
                <w:rFonts w:asciiTheme="minorHAnsi" w:hAnsiTheme="minorHAnsi" w:cstheme="minorHAnsi"/>
              </w:rPr>
              <w:t>Date: ________</w:t>
            </w:r>
            <w:r>
              <w:rPr>
                <w:rFonts w:asciiTheme="minorHAnsi" w:hAnsiTheme="minorHAnsi" w:cstheme="minorHAnsi"/>
              </w:rPr>
              <w:t>__</w:t>
            </w:r>
            <w:r w:rsidR="007774F7" w:rsidRPr="009511E3">
              <w:rPr>
                <w:rFonts w:asciiTheme="minorHAnsi" w:hAnsiTheme="minorHAnsi" w:cstheme="minorHAnsi"/>
              </w:rPr>
              <w:t>_</w:t>
            </w:r>
          </w:p>
          <w:p w14:paraId="48A03B18" w14:textId="77777777" w:rsidR="007774F7" w:rsidRDefault="007774F7" w:rsidP="00215BEC">
            <w:pPr>
              <w:spacing w:after="0" w:line="240" w:lineRule="auto"/>
              <w:contextualSpacing/>
              <w:rPr>
                <w:rFonts w:asciiTheme="minorHAnsi" w:hAnsiTheme="minorHAnsi" w:cstheme="minorHAnsi"/>
                <w:i/>
              </w:rPr>
            </w:pPr>
          </w:p>
          <w:p w14:paraId="498287A2" w14:textId="3A1E87DC" w:rsidR="007774F7" w:rsidRPr="007774F7" w:rsidRDefault="007774F7" w:rsidP="00215BEC">
            <w:pPr>
              <w:spacing w:after="0" w:line="240" w:lineRule="auto"/>
              <w:contextualSpacing/>
              <w:rPr>
                <w:rFonts w:asciiTheme="minorHAnsi" w:hAnsiTheme="minorHAnsi" w:cstheme="minorHAnsi"/>
                <w:i/>
              </w:rPr>
            </w:pPr>
            <w:r>
              <w:rPr>
                <w:rFonts w:asciiTheme="minorHAnsi" w:hAnsiTheme="minorHAnsi" w:cstheme="minorHAnsi"/>
                <w:i/>
              </w:rPr>
              <w:t>A staff member without licensure can complete the form but the actual assessment must be completed by a licensed</w:t>
            </w:r>
            <w:r w:rsidR="006648EF">
              <w:rPr>
                <w:rFonts w:asciiTheme="minorHAnsi" w:hAnsiTheme="minorHAnsi" w:cstheme="minorHAnsi"/>
                <w:i/>
              </w:rPr>
              <w:t xml:space="preserve"> and delegated</w:t>
            </w:r>
            <w:r>
              <w:rPr>
                <w:rFonts w:asciiTheme="minorHAnsi" w:hAnsiTheme="minorHAnsi" w:cstheme="minorHAnsi"/>
                <w:i/>
              </w:rPr>
              <w:t xml:space="preserve"> clinician who signs below. </w:t>
            </w:r>
          </w:p>
        </w:tc>
      </w:tr>
      <w:tr w:rsidR="00215BEC" w:rsidRPr="000B7911" w14:paraId="3F5629F9" w14:textId="77777777" w:rsidTr="007774F7">
        <w:trPr>
          <w:trHeight w:val="1673"/>
        </w:trPr>
        <w:tc>
          <w:tcPr>
            <w:tcW w:w="5000" w:type="pct"/>
            <w:gridSpan w:val="3"/>
            <w:vAlign w:val="center"/>
          </w:tcPr>
          <w:p w14:paraId="378E5A4D" w14:textId="77777777" w:rsidR="00847E87" w:rsidRDefault="00847E87" w:rsidP="00215BEC">
            <w:pPr>
              <w:spacing w:after="0" w:line="240" w:lineRule="auto"/>
              <w:contextualSpacing/>
              <w:rPr>
                <w:rFonts w:asciiTheme="minorHAnsi" w:hAnsiTheme="minorHAnsi" w:cstheme="minorHAnsi"/>
                <w:u w:val="single"/>
              </w:rPr>
            </w:pPr>
          </w:p>
          <w:p w14:paraId="611743EA" w14:textId="6E14283B" w:rsidR="00215BEC" w:rsidRPr="00847E87" w:rsidRDefault="006648EF" w:rsidP="00847E87">
            <w:pPr>
              <w:spacing w:after="0" w:line="240" w:lineRule="auto"/>
              <w:contextualSpacing/>
              <w:rPr>
                <w:rFonts w:asciiTheme="minorHAnsi" w:hAnsiTheme="minorHAnsi" w:cstheme="minorHAnsi"/>
                <w:u w:val="single"/>
              </w:rPr>
            </w:pPr>
            <w:r>
              <w:rPr>
                <w:rFonts w:asciiTheme="minorHAnsi" w:hAnsiTheme="minorHAnsi" w:cstheme="minorHAnsi"/>
                <w:b/>
                <w:bCs/>
                <w:u w:val="single"/>
              </w:rPr>
              <w:t xml:space="preserve">LICENSED AND DELEGATED </w:t>
            </w:r>
            <w:r w:rsidR="00847E87" w:rsidRPr="00847E87">
              <w:rPr>
                <w:rFonts w:asciiTheme="minorHAnsi" w:hAnsiTheme="minorHAnsi" w:cstheme="minorHAnsi"/>
                <w:b/>
                <w:bCs/>
                <w:u w:val="single"/>
              </w:rPr>
              <w:t>CLINICIAN COMPLETING ASSESSMENT</w:t>
            </w:r>
            <w:r w:rsidR="00847E87" w:rsidRPr="00847E87">
              <w:rPr>
                <w:rFonts w:asciiTheme="minorHAnsi" w:hAnsiTheme="minorHAnsi" w:cstheme="minorHAnsi"/>
                <w:u w:val="single"/>
              </w:rPr>
              <w:t xml:space="preserve"> </w:t>
            </w:r>
          </w:p>
          <w:p w14:paraId="5F474DCB" w14:textId="77777777" w:rsidR="00847E87" w:rsidRDefault="00847E87" w:rsidP="00847E87">
            <w:pPr>
              <w:spacing w:after="0" w:line="240" w:lineRule="auto"/>
              <w:contextualSpacing/>
              <w:rPr>
                <w:rFonts w:asciiTheme="minorHAnsi" w:hAnsiTheme="minorHAnsi" w:cstheme="minorHAnsi"/>
                <w:i/>
              </w:rPr>
            </w:pPr>
          </w:p>
          <w:p w14:paraId="33C3F100" w14:textId="77777777" w:rsidR="00847E87" w:rsidRPr="009511E3" w:rsidRDefault="00847E87" w:rsidP="00847E87">
            <w:pPr>
              <w:spacing w:after="0" w:line="240" w:lineRule="auto"/>
              <w:contextualSpacing/>
              <w:rPr>
                <w:rFonts w:asciiTheme="minorHAnsi" w:hAnsiTheme="minorHAnsi" w:cstheme="minorHAnsi"/>
              </w:rPr>
            </w:pPr>
            <w:r>
              <w:rPr>
                <w:rFonts w:asciiTheme="minorHAnsi" w:hAnsiTheme="minorHAnsi" w:cstheme="minorHAnsi"/>
              </w:rPr>
              <w:t>Printed Name: ___________</w:t>
            </w:r>
            <w:r w:rsidRPr="009511E3">
              <w:rPr>
                <w:rFonts w:asciiTheme="minorHAnsi" w:hAnsiTheme="minorHAnsi" w:cstheme="minorHAnsi"/>
              </w:rPr>
              <w:t>_____</w:t>
            </w:r>
            <w:r>
              <w:rPr>
                <w:rFonts w:asciiTheme="minorHAnsi" w:hAnsiTheme="minorHAnsi" w:cstheme="minorHAnsi"/>
              </w:rPr>
              <w:t>____</w:t>
            </w:r>
            <w:r w:rsidRPr="009511E3">
              <w:rPr>
                <w:rFonts w:asciiTheme="minorHAnsi" w:hAnsiTheme="minorHAnsi" w:cstheme="minorHAnsi"/>
              </w:rPr>
              <w:t>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sidRPr="009511E3">
              <w:rPr>
                <w:rFonts w:asciiTheme="minorHAnsi" w:hAnsiTheme="minorHAnsi" w:cstheme="minorHAnsi"/>
              </w:rPr>
              <w:t xml:space="preserve">_____ </w:t>
            </w:r>
            <w:r>
              <w:rPr>
                <w:rFonts w:asciiTheme="minorHAnsi" w:hAnsiTheme="minorHAnsi" w:cstheme="minorHAnsi"/>
              </w:rPr>
              <w:t>Signature: 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w:t>
            </w:r>
            <w:r w:rsidRPr="009511E3">
              <w:rPr>
                <w:rFonts w:asciiTheme="minorHAnsi" w:hAnsiTheme="minorHAnsi" w:cstheme="minorHAnsi"/>
              </w:rPr>
              <w:t>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w:t>
            </w:r>
            <w:r w:rsidRPr="009511E3">
              <w:rPr>
                <w:rFonts w:asciiTheme="minorHAnsi" w:hAnsiTheme="minorHAnsi" w:cstheme="minorHAnsi"/>
              </w:rPr>
              <w:t>______</w:t>
            </w:r>
            <w:r>
              <w:rPr>
                <w:rFonts w:asciiTheme="minorHAnsi" w:hAnsiTheme="minorHAnsi" w:cstheme="minorHAnsi"/>
              </w:rPr>
              <w:t xml:space="preserve"> </w:t>
            </w:r>
            <w:r w:rsidRPr="009511E3">
              <w:rPr>
                <w:rFonts w:asciiTheme="minorHAnsi" w:hAnsiTheme="minorHAnsi" w:cstheme="minorHAnsi"/>
              </w:rPr>
              <w:t>Date: ________</w:t>
            </w:r>
            <w:r>
              <w:rPr>
                <w:rFonts w:asciiTheme="minorHAnsi" w:hAnsiTheme="minorHAnsi" w:cstheme="minorHAnsi"/>
              </w:rPr>
              <w:t>__</w:t>
            </w:r>
            <w:r w:rsidRPr="009511E3">
              <w:rPr>
                <w:rFonts w:asciiTheme="minorHAnsi" w:hAnsiTheme="minorHAnsi" w:cstheme="minorHAnsi"/>
              </w:rPr>
              <w:t>_</w:t>
            </w:r>
          </w:p>
          <w:p w14:paraId="3F114D9B" w14:textId="77777777" w:rsidR="00847E87" w:rsidRDefault="00847E87" w:rsidP="00215BEC">
            <w:pPr>
              <w:spacing w:after="0" w:line="240" w:lineRule="auto"/>
              <w:contextualSpacing/>
              <w:rPr>
                <w:rFonts w:asciiTheme="minorHAnsi" w:hAnsiTheme="minorHAnsi" w:cstheme="minorHAnsi"/>
                <w:i/>
              </w:rPr>
            </w:pPr>
          </w:p>
          <w:p w14:paraId="1F8B555A" w14:textId="5DB9E19E" w:rsidR="007774F7" w:rsidRPr="00BF5DD6" w:rsidRDefault="007774F7" w:rsidP="00215BEC">
            <w:pPr>
              <w:spacing w:after="0" w:line="240" w:lineRule="auto"/>
              <w:contextualSpacing/>
              <w:rPr>
                <w:rFonts w:asciiTheme="minorHAnsi" w:hAnsiTheme="minorHAnsi" w:cstheme="minorHAnsi"/>
                <w:i/>
              </w:rPr>
            </w:pPr>
            <w:r>
              <w:rPr>
                <w:rFonts w:asciiTheme="minorHAnsi" w:hAnsiTheme="minorHAnsi" w:cstheme="minorHAnsi"/>
                <w:i/>
              </w:rPr>
              <w:t>This person must possess licensure and expertise and be delegated to review and assess adverse events.</w:t>
            </w:r>
          </w:p>
        </w:tc>
      </w:tr>
      <w:tr w:rsidR="00215BEC" w:rsidRPr="00FC730B" w14:paraId="63F77EC1" w14:textId="77777777" w:rsidTr="00BF5DD6">
        <w:trPr>
          <w:trHeight w:val="1880"/>
        </w:trPr>
        <w:tc>
          <w:tcPr>
            <w:tcW w:w="5000" w:type="pct"/>
            <w:gridSpan w:val="3"/>
            <w:vAlign w:val="center"/>
          </w:tcPr>
          <w:p w14:paraId="67950BD9" w14:textId="77777777" w:rsidR="00215BEC" w:rsidRDefault="00215BEC" w:rsidP="00215BEC">
            <w:pPr>
              <w:spacing w:after="0" w:line="240" w:lineRule="auto"/>
              <w:contextualSpacing/>
              <w:rPr>
                <w:rFonts w:asciiTheme="minorHAnsi" w:hAnsiTheme="minorHAnsi" w:cstheme="minorHAnsi"/>
              </w:rPr>
            </w:pPr>
            <w:r>
              <w:rPr>
                <w:rFonts w:asciiTheme="minorHAnsi" w:hAnsiTheme="minorHAnsi" w:cstheme="minorHAnsi"/>
              </w:rPr>
              <w:t xml:space="preserve">Additional clinical notes from clinician review: </w:t>
            </w:r>
          </w:p>
          <w:p w14:paraId="5BF46E3B" w14:textId="77777777" w:rsidR="00215BEC" w:rsidRDefault="00215BEC" w:rsidP="00215BEC">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No additional notes</w:t>
            </w:r>
          </w:p>
          <w:p w14:paraId="4B35A493" w14:textId="77777777" w:rsidR="00215BEC" w:rsidRPr="00FC730B" w:rsidRDefault="00215BEC" w:rsidP="00215BEC">
            <w:pPr>
              <w:pStyle w:val="ListParagraph"/>
              <w:spacing w:after="0" w:line="360" w:lineRule="auto"/>
              <w:ind w:left="0"/>
              <w:rPr>
                <w:rFonts w:asciiTheme="minorHAnsi" w:hAnsiTheme="minorHAnsi" w:cstheme="minorHAnsi"/>
              </w:rPr>
            </w:pPr>
            <w:r w:rsidRPr="00FC730B">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8C6ACC6" w14:textId="77777777" w:rsidR="00F70D35" w:rsidRPr="005B1FC1" w:rsidRDefault="00F70D35" w:rsidP="004233BB">
      <w:pPr>
        <w:spacing w:after="0" w:line="240" w:lineRule="auto"/>
        <w:rPr>
          <w:rFonts w:asciiTheme="minorHAnsi" w:hAnsiTheme="minorHAnsi" w:cstheme="minorHAnsi"/>
          <w:sz w:val="20"/>
        </w:rPr>
      </w:pPr>
    </w:p>
    <w:tbl>
      <w:tblPr>
        <w:tblStyle w:val="TableGrid"/>
        <w:tblW w:w="5099" w:type="pct"/>
        <w:tblLook w:val="04A0" w:firstRow="1" w:lastRow="0" w:firstColumn="1" w:lastColumn="0" w:noHBand="0" w:noVBand="1"/>
      </w:tblPr>
      <w:tblGrid>
        <w:gridCol w:w="1194"/>
        <w:gridCol w:w="3380"/>
        <w:gridCol w:w="3425"/>
        <w:gridCol w:w="3005"/>
      </w:tblGrid>
      <w:tr w:rsidR="00A121E4" w:rsidRPr="005B1FC1" w14:paraId="4A90BF90" w14:textId="77777777" w:rsidTr="005B1FC1">
        <w:tc>
          <w:tcPr>
            <w:tcW w:w="0" w:type="auto"/>
            <w:gridSpan w:val="4"/>
            <w:shd w:val="clear" w:color="auto" w:fill="D9D9D9" w:themeFill="background1" w:themeFillShade="D9"/>
            <w:vAlign w:val="center"/>
          </w:tcPr>
          <w:p w14:paraId="68DEE8AA" w14:textId="77777777" w:rsidR="00A121E4" w:rsidRPr="005B1FC1" w:rsidRDefault="00A121E4" w:rsidP="00A121E4">
            <w:pPr>
              <w:spacing w:after="0" w:line="240" w:lineRule="auto"/>
              <w:rPr>
                <w:rFonts w:asciiTheme="minorHAnsi" w:eastAsiaTheme="minorHAnsi" w:hAnsiTheme="minorHAnsi" w:cstheme="minorHAnsi"/>
                <w:b/>
                <w:sz w:val="20"/>
                <w:szCs w:val="20"/>
              </w:rPr>
            </w:pPr>
            <w:commentRangeStart w:id="6"/>
            <w:r w:rsidRPr="005B1FC1">
              <w:rPr>
                <w:rFonts w:asciiTheme="minorHAnsi" w:eastAsiaTheme="minorHAnsi" w:hAnsiTheme="minorHAnsi" w:cstheme="minorHAnsi"/>
                <w:b/>
                <w:sz w:val="20"/>
                <w:szCs w:val="20"/>
              </w:rPr>
              <w:t>Adverse Events Definitions</w:t>
            </w:r>
            <w:r w:rsidR="00F70D35" w:rsidRPr="005B1FC1">
              <w:rPr>
                <w:rFonts w:asciiTheme="minorHAnsi" w:eastAsiaTheme="minorHAnsi" w:hAnsiTheme="minorHAnsi" w:cstheme="minorHAnsi"/>
                <w:b/>
                <w:sz w:val="20"/>
                <w:szCs w:val="20"/>
              </w:rPr>
              <w:t>, for reference</w:t>
            </w:r>
          </w:p>
        </w:tc>
      </w:tr>
      <w:tr w:rsidR="00A121E4" w:rsidRPr="005B1FC1" w14:paraId="723BD0BD" w14:textId="77777777" w:rsidTr="005B1FC1">
        <w:tc>
          <w:tcPr>
            <w:tcW w:w="0" w:type="auto"/>
            <w:vAlign w:val="center"/>
          </w:tcPr>
          <w:p w14:paraId="2E11D02E" w14:textId="77777777" w:rsidR="00A121E4" w:rsidRPr="005B1FC1" w:rsidRDefault="00A121E4" w:rsidP="00A121E4">
            <w:pPr>
              <w:spacing w:after="0" w:line="240" w:lineRule="auto"/>
              <w:rPr>
                <w:rFonts w:asciiTheme="minorHAnsi" w:eastAsiaTheme="minorHAnsi" w:hAnsiTheme="minorHAnsi" w:cstheme="minorHAnsi"/>
                <w:b/>
                <w:sz w:val="20"/>
                <w:szCs w:val="20"/>
              </w:rPr>
            </w:pPr>
            <w:r w:rsidRPr="005B1FC1">
              <w:rPr>
                <w:rFonts w:asciiTheme="minorHAnsi" w:eastAsiaTheme="minorHAnsi" w:hAnsiTheme="minorHAnsi" w:cstheme="minorHAnsi"/>
                <w:b/>
                <w:sz w:val="20"/>
                <w:szCs w:val="20"/>
              </w:rPr>
              <w:t>Severity</w:t>
            </w:r>
          </w:p>
        </w:tc>
        <w:tc>
          <w:tcPr>
            <w:tcW w:w="0" w:type="auto"/>
          </w:tcPr>
          <w:p w14:paraId="7C6C3885" w14:textId="77777777" w:rsidR="00A121E4" w:rsidRPr="005B1FC1" w:rsidRDefault="00A121E4" w:rsidP="00A121E4">
            <w:pPr>
              <w:spacing w:after="0" w:line="240" w:lineRule="auto"/>
              <w:contextualSpacing/>
              <w:rPr>
                <w:rFonts w:asciiTheme="minorHAnsi" w:eastAsiaTheme="minorHAnsi" w:hAnsiTheme="minorHAnsi" w:cstheme="minorHAnsi"/>
                <w:sz w:val="20"/>
                <w:szCs w:val="20"/>
              </w:rPr>
            </w:pPr>
            <w:r w:rsidRPr="005B1FC1">
              <w:rPr>
                <w:rFonts w:asciiTheme="minorHAnsi" w:eastAsiaTheme="minorHAnsi" w:hAnsiTheme="minorHAnsi" w:cstheme="minorHAnsi"/>
                <w:b/>
                <w:sz w:val="20"/>
                <w:szCs w:val="20"/>
              </w:rPr>
              <w:t>Mild:</w:t>
            </w:r>
            <w:r w:rsidRPr="005B1FC1">
              <w:rPr>
                <w:rFonts w:asciiTheme="minorHAnsi" w:eastAsiaTheme="minorHAnsi" w:hAnsiTheme="minorHAnsi" w:cstheme="minorHAnsi"/>
                <w:sz w:val="20"/>
                <w:szCs w:val="20"/>
              </w:rPr>
              <w:t xml:space="preserve"> Awareness of signs or symptoms, but easily tolerated and are of minor irritant type causing no loss of time from normal activities. Symptoms do not require therapy or a medical evaluation; signs and symptoms are transient. Non-prescription therapy may be used. </w:t>
            </w:r>
          </w:p>
        </w:tc>
        <w:tc>
          <w:tcPr>
            <w:tcW w:w="0" w:type="auto"/>
          </w:tcPr>
          <w:p w14:paraId="5EC12EEA" w14:textId="2DDACB5B" w:rsidR="00A121E4" w:rsidRPr="005B1FC1" w:rsidRDefault="00A121E4" w:rsidP="00A121E4">
            <w:pPr>
              <w:spacing w:after="0" w:line="240" w:lineRule="auto"/>
              <w:contextualSpacing/>
              <w:rPr>
                <w:rFonts w:asciiTheme="minorHAnsi" w:eastAsiaTheme="minorHAnsi" w:hAnsiTheme="minorHAnsi" w:cstheme="minorHAnsi"/>
                <w:sz w:val="20"/>
                <w:szCs w:val="20"/>
              </w:rPr>
            </w:pPr>
            <w:r w:rsidRPr="005B1FC1">
              <w:rPr>
                <w:rFonts w:asciiTheme="minorHAnsi" w:eastAsiaTheme="minorHAnsi" w:hAnsiTheme="minorHAnsi" w:cstheme="minorHAnsi"/>
                <w:b/>
                <w:sz w:val="20"/>
                <w:szCs w:val="20"/>
              </w:rPr>
              <w:t>Moderate:</w:t>
            </w:r>
            <w:r w:rsidRPr="005B1FC1">
              <w:rPr>
                <w:rFonts w:asciiTheme="minorHAnsi" w:eastAsiaTheme="minorHAnsi" w:hAnsiTheme="minorHAnsi" w:cstheme="minorHAnsi"/>
                <w:sz w:val="20"/>
                <w:szCs w:val="20"/>
              </w:rPr>
              <w:t xml:space="preserve"> Events introduce a low level of inconvenience or concern to the participant and may interfere with daily </w:t>
            </w:r>
            <w:r w:rsidR="00D35E23" w:rsidRPr="005B1FC1">
              <w:rPr>
                <w:rFonts w:asciiTheme="minorHAnsi" w:eastAsiaTheme="minorHAnsi" w:hAnsiTheme="minorHAnsi" w:cstheme="minorHAnsi"/>
                <w:sz w:val="20"/>
                <w:szCs w:val="20"/>
              </w:rPr>
              <w:t>activities but</w:t>
            </w:r>
            <w:r w:rsidRPr="005B1FC1">
              <w:rPr>
                <w:rFonts w:asciiTheme="minorHAnsi" w:eastAsiaTheme="minorHAnsi" w:hAnsiTheme="minorHAnsi" w:cstheme="minorHAnsi"/>
                <w:sz w:val="20"/>
                <w:szCs w:val="20"/>
              </w:rPr>
              <w:t xml:space="preserve"> are usually improved by simple therapeutic measures; moderate experiences may cause some interference with functioning.</w:t>
            </w:r>
          </w:p>
        </w:tc>
        <w:tc>
          <w:tcPr>
            <w:tcW w:w="0" w:type="auto"/>
          </w:tcPr>
          <w:p w14:paraId="3431B6BA" w14:textId="77777777" w:rsidR="00A121E4" w:rsidRPr="005B1FC1" w:rsidRDefault="00A121E4" w:rsidP="00A121E4">
            <w:pPr>
              <w:spacing w:after="0" w:line="240" w:lineRule="auto"/>
              <w:contextualSpacing/>
              <w:rPr>
                <w:rFonts w:asciiTheme="minorHAnsi" w:eastAsiaTheme="minorHAnsi" w:hAnsiTheme="minorHAnsi" w:cstheme="minorHAnsi"/>
                <w:sz w:val="20"/>
                <w:szCs w:val="20"/>
              </w:rPr>
            </w:pPr>
            <w:r w:rsidRPr="005B1FC1">
              <w:rPr>
                <w:rFonts w:asciiTheme="minorHAnsi" w:eastAsiaTheme="minorHAnsi" w:hAnsiTheme="minorHAnsi" w:cstheme="minorHAnsi"/>
                <w:b/>
                <w:sz w:val="20"/>
                <w:szCs w:val="20"/>
              </w:rPr>
              <w:t>Severe:</w:t>
            </w:r>
            <w:r w:rsidRPr="005B1FC1">
              <w:rPr>
                <w:rFonts w:asciiTheme="minorHAnsi" w:eastAsiaTheme="minorHAnsi" w:hAnsiTheme="minorHAnsi" w:cstheme="minorHAnsi"/>
                <w:sz w:val="20"/>
                <w:szCs w:val="20"/>
              </w:rPr>
              <w:t xml:space="preserve">  Events interrupt the participant’s normal daily activities and generally require systemic drug therapy or other treatment; they are usually incapacitating. Medical intervention or therapy required. </w:t>
            </w:r>
          </w:p>
        </w:tc>
      </w:tr>
      <w:tr w:rsidR="004233BB" w:rsidRPr="005B1FC1" w14:paraId="3C91F114" w14:textId="77777777" w:rsidTr="005B1FC1">
        <w:tc>
          <w:tcPr>
            <w:tcW w:w="0" w:type="auto"/>
            <w:vAlign w:val="center"/>
          </w:tcPr>
          <w:p w14:paraId="7BC3D453" w14:textId="77777777" w:rsidR="004233BB" w:rsidRPr="005B1FC1" w:rsidRDefault="004233BB" w:rsidP="00A121E4">
            <w:pPr>
              <w:spacing w:after="0" w:line="240" w:lineRule="auto"/>
              <w:rPr>
                <w:rFonts w:asciiTheme="minorHAnsi" w:eastAsiaTheme="minorHAnsi" w:hAnsiTheme="minorHAnsi" w:cstheme="minorHAnsi"/>
                <w:b/>
                <w:sz w:val="20"/>
                <w:szCs w:val="20"/>
              </w:rPr>
            </w:pPr>
            <w:r w:rsidRPr="005B1FC1">
              <w:rPr>
                <w:rFonts w:asciiTheme="minorHAnsi" w:eastAsiaTheme="minorHAnsi" w:hAnsiTheme="minorHAnsi" w:cstheme="minorHAnsi"/>
                <w:b/>
                <w:sz w:val="20"/>
                <w:szCs w:val="20"/>
              </w:rPr>
              <w:t>Seriousness</w:t>
            </w:r>
          </w:p>
        </w:tc>
        <w:tc>
          <w:tcPr>
            <w:tcW w:w="0" w:type="auto"/>
            <w:gridSpan w:val="3"/>
          </w:tcPr>
          <w:p w14:paraId="22B56320" w14:textId="77777777" w:rsidR="004233BB" w:rsidRPr="005B1FC1" w:rsidRDefault="004233BB" w:rsidP="00A121E4">
            <w:pPr>
              <w:spacing w:after="0" w:line="240" w:lineRule="auto"/>
              <w:contextualSpacing/>
              <w:rPr>
                <w:rFonts w:asciiTheme="minorHAnsi" w:eastAsiaTheme="minorHAnsi" w:hAnsiTheme="minorHAnsi" w:cstheme="minorHAnsi"/>
                <w:b/>
                <w:sz w:val="20"/>
                <w:szCs w:val="20"/>
              </w:rPr>
            </w:pPr>
            <w:r w:rsidRPr="005B1FC1">
              <w:rPr>
                <w:rFonts w:asciiTheme="minorHAnsi" w:eastAsiaTheme="minorHAnsi" w:hAnsiTheme="minorHAnsi" w:cstheme="minorHAnsi"/>
                <w:b/>
                <w:sz w:val="20"/>
                <w:szCs w:val="20"/>
              </w:rPr>
              <w:t>Not Serious</w:t>
            </w:r>
          </w:p>
          <w:p w14:paraId="23A8768D" w14:textId="77777777" w:rsidR="004233BB" w:rsidRPr="005B1FC1" w:rsidRDefault="004233BB" w:rsidP="004233BB">
            <w:pPr>
              <w:spacing w:after="0" w:line="240" w:lineRule="auto"/>
              <w:contextualSpacing/>
              <w:rPr>
                <w:rFonts w:asciiTheme="minorHAnsi" w:eastAsiaTheme="minorHAnsi" w:hAnsiTheme="minorHAnsi" w:cstheme="minorHAnsi"/>
                <w:b/>
                <w:bCs/>
                <w:iCs/>
                <w:sz w:val="20"/>
                <w:szCs w:val="20"/>
              </w:rPr>
            </w:pPr>
            <w:r w:rsidRPr="005B1FC1">
              <w:rPr>
                <w:rFonts w:asciiTheme="minorHAnsi" w:eastAsiaTheme="minorHAnsi" w:hAnsiTheme="minorHAnsi" w:cstheme="minorHAnsi"/>
                <w:b/>
                <w:sz w:val="20"/>
                <w:szCs w:val="20"/>
              </w:rPr>
              <w:t>Serious</w:t>
            </w:r>
            <w:r w:rsidRPr="005B1FC1">
              <w:rPr>
                <w:rFonts w:asciiTheme="minorHAnsi" w:eastAsiaTheme="minorHAnsi" w:hAnsiTheme="minorHAnsi" w:cstheme="minorHAnsi"/>
                <w:b/>
                <w:bCs/>
                <w:iCs/>
                <w:sz w:val="20"/>
                <w:szCs w:val="20"/>
              </w:rPr>
              <w:t xml:space="preserve"> </w:t>
            </w:r>
          </w:p>
          <w:p w14:paraId="10D8D458" w14:textId="77777777" w:rsidR="004233BB" w:rsidRPr="005B1FC1" w:rsidRDefault="004233BB" w:rsidP="004233BB">
            <w:pPr>
              <w:numPr>
                <w:ilvl w:val="0"/>
                <w:numId w:val="14"/>
              </w:numPr>
              <w:spacing w:after="0" w:line="240" w:lineRule="auto"/>
              <w:contextualSpacing/>
              <w:rPr>
                <w:rFonts w:asciiTheme="minorHAnsi" w:eastAsiaTheme="minorHAnsi" w:hAnsiTheme="minorHAnsi" w:cstheme="minorHAnsi"/>
                <w:bCs/>
                <w:iCs/>
                <w:sz w:val="20"/>
                <w:szCs w:val="20"/>
              </w:rPr>
            </w:pPr>
            <w:r w:rsidRPr="005B1FC1">
              <w:rPr>
                <w:rFonts w:asciiTheme="minorHAnsi" w:eastAsiaTheme="minorHAnsi" w:hAnsiTheme="minorHAnsi" w:cstheme="minorHAnsi"/>
                <w:bCs/>
                <w:iCs/>
                <w:sz w:val="20"/>
                <w:szCs w:val="20"/>
              </w:rPr>
              <w:lastRenderedPageBreak/>
              <w:t>Death</w:t>
            </w:r>
          </w:p>
          <w:p w14:paraId="6956F4A1" w14:textId="7961B97F" w:rsidR="004233BB" w:rsidRPr="005B1FC1" w:rsidRDefault="00D35E23" w:rsidP="004233BB">
            <w:pPr>
              <w:numPr>
                <w:ilvl w:val="0"/>
                <w:numId w:val="14"/>
              </w:numPr>
              <w:spacing w:after="0" w:line="240" w:lineRule="auto"/>
              <w:contextualSpacing/>
              <w:rPr>
                <w:rFonts w:asciiTheme="minorHAnsi" w:eastAsiaTheme="minorHAnsi" w:hAnsiTheme="minorHAnsi" w:cstheme="minorHAnsi"/>
                <w:bCs/>
                <w:iCs/>
                <w:sz w:val="20"/>
                <w:szCs w:val="20"/>
              </w:rPr>
            </w:pPr>
            <w:r w:rsidRPr="005B1FC1">
              <w:rPr>
                <w:rFonts w:asciiTheme="minorHAnsi" w:eastAsiaTheme="minorHAnsi" w:hAnsiTheme="minorHAnsi" w:cstheme="minorHAnsi"/>
                <w:bCs/>
                <w:iCs/>
                <w:sz w:val="20"/>
                <w:szCs w:val="20"/>
              </w:rPr>
              <w:t>A life</w:t>
            </w:r>
            <w:r w:rsidR="004233BB" w:rsidRPr="005B1FC1">
              <w:rPr>
                <w:rFonts w:asciiTheme="minorHAnsi" w:eastAsiaTheme="minorHAnsi" w:hAnsiTheme="minorHAnsi" w:cstheme="minorHAnsi"/>
                <w:bCs/>
                <w:iCs/>
                <w:sz w:val="20"/>
                <w:szCs w:val="20"/>
              </w:rPr>
              <w:t>-threatening adverse event</w:t>
            </w:r>
          </w:p>
          <w:p w14:paraId="47F3BB53" w14:textId="77777777" w:rsidR="004233BB" w:rsidRPr="005B1FC1" w:rsidRDefault="004233BB" w:rsidP="004233BB">
            <w:pPr>
              <w:numPr>
                <w:ilvl w:val="0"/>
                <w:numId w:val="14"/>
              </w:numPr>
              <w:spacing w:after="0" w:line="240" w:lineRule="auto"/>
              <w:contextualSpacing/>
              <w:rPr>
                <w:rFonts w:asciiTheme="minorHAnsi" w:eastAsiaTheme="minorHAnsi" w:hAnsiTheme="minorHAnsi" w:cstheme="minorHAnsi"/>
                <w:bCs/>
                <w:iCs/>
                <w:sz w:val="20"/>
                <w:szCs w:val="20"/>
              </w:rPr>
            </w:pPr>
            <w:r w:rsidRPr="005B1FC1">
              <w:rPr>
                <w:rFonts w:asciiTheme="minorHAnsi" w:eastAsiaTheme="minorHAnsi" w:hAnsiTheme="minorHAnsi" w:cstheme="minorHAnsi"/>
                <w:bCs/>
                <w:iCs/>
                <w:sz w:val="20"/>
                <w:szCs w:val="20"/>
              </w:rPr>
              <w:t>Inpatient hospitalization, or prolonged of existing hospitalization</w:t>
            </w:r>
          </w:p>
          <w:p w14:paraId="6C663C23" w14:textId="77777777" w:rsidR="004233BB" w:rsidRPr="005B1FC1" w:rsidRDefault="004233BB" w:rsidP="004233BB">
            <w:pPr>
              <w:numPr>
                <w:ilvl w:val="0"/>
                <w:numId w:val="14"/>
              </w:numPr>
              <w:spacing w:after="0" w:line="240" w:lineRule="auto"/>
              <w:contextualSpacing/>
              <w:rPr>
                <w:rFonts w:asciiTheme="minorHAnsi" w:eastAsiaTheme="minorHAnsi" w:hAnsiTheme="minorHAnsi" w:cstheme="minorHAnsi"/>
                <w:bCs/>
                <w:iCs/>
                <w:sz w:val="20"/>
                <w:szCs w:val="20"/>
              </w:rPr>
            </w:pPr>
            <w:r w:rsidRPr="005B1FC1">
              <w:rPr>
                <w:rFonts w:asciiTheme="minorHAnsi" w:eastAsiaTheme="minorHAnsi" w:hAnsiTheme="minorHAnsi" w:cstheme="minorHAnsi"/>
                <w:bCs/>
                <w:iCs/>
                <w:sz w:val="20"/>
                <w:szCs w:val="20"/>
              </w:rPr>
              <w:t>A persistent or significant incapacity or substantial disruption of the ability to conduct normal life functions</w:t>
            </w:r>
          </w:p>
          <w:p w14:paraId="291DF484" w14:textId="77777777" w:rsidR="004233BB" w:rsidRPr="005B1FC1" w:rsidRDefault="004233BB" w:rsidP="004233BB">
            <w:pPr>
              <w:numPr>
                <w:ilvl w:val="0"/>
                <w:numId w:val="14"/>
              </w:numPr>
              <w:spacing w:after="0" w:line="240" w:lineRule="auto"/>
              <w:contextualSpacing/>
              <w:rPr>
                <w:rFonts w:asciiTheme="minorHAnsi" w:eastAsiaTheme="minorHAnsi" w:hAnsiTheme="minorHAnsi" w:cstheme="minorHAnsi"/>
                <w:bCs/>
                <w:iCs/>
                <w:sz w:val="20"/>
                <w:szCs w:val="20"/>
              </w:rPr>
            </w:pPr>
            <w:r w:rsidRPr="005B1FC1">
              <w:rPr>
                <w:rFonts w:asciiTheme="minorHAnsi" w:eastAsiaTheme="minorHAnsi" w:hAnsiTheme="minorHAnsi" w:cstheme="minorHAnsi"/>
                <w:bCs/>
                <w:iCs/>
                <w:sz w:val="20"/>
                <w:szCs w:val="20"/>
              </w:rPr>
              <w:t>A congenital anomaly/birth defect</w:t>
            </w:r>
          </w:p>
          <w:p w14:paraId="7D3A31B5" w14:textId="5E0FED0C" w:rsidR="004233BB" w:rsidRPr="005B1FC1" w:rsidRDefault="004233BB" w:rsidP="004233BB">
            <w:pPr>
              <w:numPr>
                <w:ilvl w:val="0"/>
                <w:numId w:val="14"/>
              </w:numPr>
              <w:spacing w:after="0" w:line="240" w:lineRule="auto"/>
              <w:contextualSpacing/>
              <w:rPr>
                <w:rFonts w:asciiTheme="minorHAnsi" w:eastAsiaTheme="minorHAnsi" w:hAnsiTheme="minorHAnsi" w:cstheme="minorHAnsi"/>
                <w:bCs/>
                <w:iCs/>
                <w:sz w:val="20"/>
                <w:szCs w:val="20"/>
              </w:rPr>
            </w:pPr>
            <w:r w:rsidRPr="005B1FC1">
              <w:rPr>
                <w:rFonts w:asciiTheme="minorHAnsi" w:eastAsiaTheme="minorHAnsi" w:hAnsiTheme="minorHAnsi" w:cstheme="minorHAnsi"/>
                <w:bCs/>
                <w:iCs/>
                <w:sz w:val="20"/>
                <w:szCs w:val="20"/>
              </w:rPr>
              <w:t xml:space="preserve">Important medical events that may not result in death, be life threatening, or require hospitalization may be considered serious, when based upon appropriate medical judgment, they </w:t>
            </w:r>
            <w:r w:rsidR="00D35E23" w:rsidRPr="005B1FC1">
              <w:rPr>
                <w:rFonts w:asciiTheme="minorHAnsi" w:eastAsiaTheme="minorHAnsi" w:hAnsiTheme="minorHAnsi" w:cstheme="minorHAnsi"/>
                <w:bCs/>
                <w:iCs/>
                <w:sz w:val="20"/>
                <w:szCs w:val="20"/>
              </w:rPr>
              <w:t>may jeopardize</w:t>
            </w:r>
            <w:r w:rsidRPr="005B1FC1">
              <w:rPr>
                <w:rFonts w:asciiTheme="minorHAnsi" w:eastAsiaTheme="minorHAnsi" w:hAnsiTheme="minorHAnsi" w:cstheme="minorHAnsi"/>
                <w:bCs/>
                <w:iCs/>
                <w:sz w:val="20"/>
                <w:szCs w:val="20"/>
              </w:rPr>
              <w:t xml:space="preserve"> the patient or subject and may require medical or surgical intervention to prevent one of the outcomes listed in this definition.</w:t>
            </w:r>
            <w:commentRangeEnd w:id="6"/>
            <w:r w:rsidR="007774F7">
              <w:rPr>
                <w:rStyle w:val="CommentReference"/>
                <w:rFonts w:ascii="Times New Roman" w:hAnsi="Times New Roman"/>
              </w:rPr>
              <w:commentReference w:id="6"/>
            </w:r>
          </w:p>
        </w:tc>
      </w:tr>
    </w:tbl>
    <w:p w14:paraId="45DA5DB6" w14:textId="16584EEE" w:rsidR="004233BB" w:rsidRDefault="004233BB" w:rsidP="004233BB">
      <w:pPr>
        <w:rPr>
          <w:rFonts w:asciiTheme="minorHAnsi" w:hAnsiTheme="minorHAnsi" w:cstheme="minorHAnsi"/>
        </w:rPr>
      </w:pPr>
    </w:p>
    <w:p w14:paraId="54D8BEBA" w14:textId="1A19BD3D" w:rsidR="006648EF" w:rsidRPr="006648EF" w:rsidRDefault="006648EF" w:rsidP="006648EF">
      <w:pPr>
        <w:rPr>
          <w:rFonts w:asciiTheme="minorHAnsi" w:hAnsiTheme="minorHAnsi" w:cstheme="minorHAnsi"/>
        </w:rPr>
      </w:pPr>
    </w:p>
    <w:p w14:paraId="687D9491" w14:textId="34B95C7D" w:rsidR="006648EF" w:rsidRPr="006648EF" w:rsidRDefault="006648EF" w:rsidP="006648EF">
      <w:pPr>
        <w:rPr>
          <w:rFonts w:asciiTheme="minorHAnsi" w:hAnsiTheme="minorHAnsi" w:cstheme="minorHAnsi"/>
        </w:rPr>
      </w:pPr>
    </w:p>
    <w:p w14:paraId="461DEAC5" w14:textId="04C46CB9" w:rsidR="006648EF" w:rsidRPr="006648EF" w:rsidRDefault="006648EF" w:rsidP="006648EF">
      <w:pPr>
        <w:rPr>
          <w:rFonts w:asciiTheme="minorHAnsi" w:hAnsiTheme="minorHAnsi" w:cstheme="minorHAnsi"/>
        </w:rPr>
      </w:pPr>
    </w:p>
    <w:p w14:paraId="7E8BB0EC" w14:textId="500F4505" w:rsidR="006648EF" w:rsidRPr="006648EF" w:rsidRDefault="006648EF" w:rsidP="006648EF">
      <w:pPr>
        <w:rPr>
          <w:rFonts w:asciiTheme="minorHAnsi" w:hAnsiTheme="minorHAnsi" w:cstheme="minorHAnsi"/>
        </w:rPr>
      </w:pPr>
    </w:p>
    <w:p w14:paraId="74D7B13F" w14:textId="11B7B553" w:rsidR="006648EF" w:rsidRPr="006648EF" w:rsidRDefault="006648EF" w:rsidP="006648EF">
      <w:pPr>
        <w:rPr>
          <w:rFonts w:asciiTheme="minorHAnsi" w:hAnsiTheme="minorHAnsi" w:cstheme="minorHAnsi"/>
        </w:rPr>
      </w:pPr>
    </w:p>
    <w:p w14:paraId="4FB3F94F" w14:textId="46702277" w:rsidR="006648EF" w:rsidRPr="006648EF" w:rsidRDefault="006648EF" w:rsidP="006648EF">
      <w:pPr>
        <w:rPr>
          <w:rFonts w:asciiTheme="minorHAnsi" w:hAnsiTheme="minorHAnsi" w:cstheme="minorHAnsi"/>
        </w:rPr>
      </w:pPr>
    </w:p>
    <w:p w14:paraId="56E7161B" w14:textId="7A47F2B4" w:rsidR="006648EF" w:rsidRPr="006648EF" w:rsidRDefault="006648EF" w:rsidP="006648EF">
      <w:pPr>
        <w:rPr>
          <w:rFonts w:asciiTheme="minorHAnsi" w:hAnsiTheme="minorHAnsi" w:cstheme="minorHAnsi"/>
        </w:rPr>
      </w:pPr>
    </w:p>
    <w:p w14:paraId="3536EEFC" w14:textId="177AFC50" w:rsidR="006648EF" w:rsidRPr="006648EF" w:rsidRDefault="006648EF" w:rsidP="006648EF">
      <w:pPr>
        <w:rPr>
          <w:rFonts w:asciiTheme="minorHAnsi" w:hAnsiTheme="minorHAnsi" w:cstheme="minorHAnsi"/>
        </w:rPr>
      </w:pPr>
    </w:p>
    <w:p w14:paraId="642E3678" w14:textId="5BEC7647" w:rsidR="006648EF" w:rsidRPr="006648EF" w:rsidRDefault="006648EF" w:rsidP="006648EF">
      <w:pPr>
        <w:rPr>
          <w:rFonts w:asciiTheme="minorHAnsi" w:hAnsiTheme="minorHAnsi" w:cstheme="minorHAnsi"/>
        </w:rPr>
      </w:pPr>
    </w:p>
    <w:p w14:paraId="19827616" w14:textId="3CF8D9DF" w:rsidR="006648EF" w:rsidRDefault="006648EF" w:rsidP="006648EF">
      <w:pPr>
        <w:rPr>
          <w:rFonts w:asciiTheme="minorHAnsi" w:hAnsiTheme="minorHAnsi" w:cstheme="minorHAnsi"/>
        </w:rPr>
      </w:pPr>
    </w:p>
    <w:p w14:paraId="31CB1C79" w14:textId="58102D57" w:rsidR="006648EF" w:rsidRPr="006648EF" w:rsidRDefault="006648EF" w:rsidP="006648EF">
      <w:pPr>
        <w:tabs>
          <w:tab w:val="left" w:pos="8136"/>
        </w:tabs>
        <w:rPr>
          <w:rFonts w:asciiTheme="minorHAnsi" w:hAnsiTheme="minorHAnsi" w:cstheme="minorHAnsi"/>
        </w:rPr>
      </w:pPr>
      <w:r>
        <w:rPr>
          <w:rFonts w:asciiTheme="minorHAnsi" w:hAnsiTheme="minorHAnsi" w:cstheme="minorHAnsi"/>
        </w:rPr>
        <w:tab/>
      </w:r>
    </w:p>
    <w:sectPr w:rsidR="006648EF" w:rsidRPr="006648EF" w:rsidSect="001C7E42">
      <w:headerReference w:type="default" r:id="rId14"/>
      <w:footerReference w:type="default" r:id="rId15"/>
      <w:pgSz w:w="12240" w:h="15840"/>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06-08T11:42:00Z" w:initials="CRRO">
    <w:p w14:paraId="5767EFE3" w14:textId="77777777" w:rsidR="001C7E42" w:rsidRPr="00580D0A" w:rsidRDefault="001C7E42" w:rsidP="001C7E42">
      <w:pPr>
        <w:pStyle w:val="CommentText"/>
        <w:rPr>
          <w:rFonts w:asciiTheme="minorHAnsi" w:hAnsiTheme="minorHAnsi" w:cstheme="minorHAnsi"/>
        </w:rPr>
      </w:pP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496AB7E6" w14:textId="77777777" w:rsidR="001C7E42" w:rsidRPr="00580D0A" w:rsidRDefault="001C7E42" w:rsidP="001C7E42">
      <w:pPr>
        <w:pStyle w:val="CommentText"/>
        <w:rPr>
          <w:rFonts w:asciiTheme="minorHAnsi" w:hAnsiTheme="minorHAnsi" w:cstheme="minorHAnsi"/>
        </w:rPr>
      </w:pPr>
    </w:p>
    <w:p w14:paraId="1E1DC3A1" w14:textId="77777777" w:rsidR="001C7E42" w:rsidRPr="00580D0A" w:rsidRDefault="001C7E42" w:rsidP="001C7E42">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76E6BF7E" w14:textId="77777777" w:rsidR="001C7E42" w:rsidRPr="00580D0A" w:rsidRDefault="001C7E42" w:rsidP="001C7E42">
      <w:pPr>
        <w:pStyle w:val="CommentText"/>
        <w:rPr>
          <w:rFonts w:asciiTheme="minorHAnsi" w:hAnsiTheme="minorHAnsi" w:cstheme="minorHAnsi"/>
        </w:rPr>
      </w:pPr>
    </w:p>
    <w:p w14:paraId="0D4D33F8" w14:textId="77777777" w:rsidR="001C7E42" w:rsidRPr="00580D0A" w:rsidRDefault="001C7E42" w:rsidP="001C7E42">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65CF79D9" w14:textId="77777777" w:rsidR="001C7E42" w:rsidRPr="00580D0A" w:rsidRDefault="001C7E42" w:rsidP="001C7E42">
      <w:pPr>
        <w:pStyle w:val="CommentText"/>
        <w:rPr>
          <w:rFonts w:asciiTheme="minorHAnsi" w:hAnsiTheme="minorHAnsi" w:cstheme="minorHAnsi"/>
        </w:rPr>
      </w:pPr>
    </w:p>
    <w:p w14:paraId="638261FB" w14:textId="77777777" w:rsidR="001C7E42" w:rsidRPr="00580D0A" w:rsidRDefault="001C7E42" w:rsidP="001C7E42">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1BF5C675" w14:textId="77777777" w:rsidR="001C7E42" w:rsidRPr="00580D0A" w:rsidRDefault="001C7E42" w:rsidP="001C7E42">
      <w:pPr>
        <w:pStyle w:val="CommentText"/>
        <w:rPr>
          <w:rFonts w:asciiTheme="minorHAnsi" w:hAnsiTheme="minorHAnsi" w:cstheme="minorHAnsi"/>
        </w:rPr>
      </w:pPr>
    </w:p>
    <w:p w14:paraId="3ECB3C0A" w14:textId="77777777" w:rsidR="001C7E42" w:rsidRDefault="001C7E42" w:rsidP="001C7E42">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rPr>
          <w:t>CRRO by requesting a consultation</w:t>
        </w:r>
      </w:hyperlink>
      <w:r w:rsidRPr="00580D0A">
        <w:rPr>
          <w:rFonts w:asciiTheme="minorHAnsi" w:hAnsiTheme="minorHAnsi" w:cstheme="minorHAnsi"/>
        </w:rPr>
        <w:t>.</w:t>
      </w:r>
    </w:p>
  </w:comment>
  <w:comment w:id="1" w:author="CRRO" w:date="2023-08-08T09:09:00Z" w:initials="CRRO">
    <w:p w14:paraId="06666781" w14:textId="207924E4" w:rsidR="001E0BC8" w:rsidRDefault="001E0BC8">
      <w:pPr>
        <w:pStyle w:val="CommentText"/>
      </w:pPr>
      <w:r>
        <w:rPr>
          <w:rStyle w:val="CommentReference"/>
        </w:rPr>
        <w:annotationRef/>
      </w:r>
      <w:r>
        <w:t xml:space="preserve">Be sure that relatedness categories align with what the study is actually using/required to use per their protocol, funder, or other authority. </w:t>
      </w:r>
    </w:p>
  </w:comment>
  <w:comment w:id="2" w:author="CRRO" w:date="2023-08-08T09:10:00Z" w:initials="CRRO">
    <w:p w14:paraId="37DCBF83" w14:textId="25C9B776" w:rsidR="001E0BC8" w:rsidRDefault="001E0BC8">
      <w:pPr>
        <w:pStyle w:val="CommentText"/>
      </w:pPr>
      <w:r>
        <w:rPr>
          <w:rStyle w:val="CommentReference"/>
        </w:rPr>
        <w:annotationRef/>
      </w:r>
      <w:r w:rsidRPr="001E0BC8">
        <w:t>Be sure that</w:t>
      </w:r>
      <w:r>
        <w:t xml:space="preserve"> expectedness</w:t>
      </w:r>
      <w:r w:rsidRPr="001E0BC8">
        <w:t xml:space="preserve"> categories align with what the study is actually using/required to use per their protocol, funder, or other authority.</w:t>
      </w:r>
    </w:p>
  </w:comment>
  <w:comment w:id="3" w:author="CRRO" w:date="2023-07-03T12:51:00Z" w:initials="CRRO">
    <w:p w14:paraId="5ED4B9D2" w14:textId="33D2758B" w:rsidR="00355416" w:rsidRDefault="00355416">
      <w:pPr>
        <w:pStyle w:val="CommentText"/>
      </w:pPr>
      <w:r>
        <w:rPr>
          <w:rStyle w:val="CommentReference"/>
        </w:rPr>
        <w:annotationRef/>
      </w:r>
      <w:r>
        <w:t xml:space="preserve">If using CTCAE grading, study teams must indicate which version they are using and should be consistent through study. </w:t>
      </w:r>
    </w:p>
  </w:comment>
  <w:comment w:id="4" w:author="CRRO" w:date="2023-07-03T12:44:00Z" w:initials="CRRO">
    <w:p w14:paraId="43153834" w14:textId="32A96C16" w:rsidR="005221BA" w:rsidRDefault="005221BA">
      <w:pPr>
        <w:pStyle w:val="CommentText"/>
      </w:pPr>
      <w:r>
        <w:rPr>
          <w:rStyle w:val="CommentReference"/>
        </w:rPr>
        <w:annotationRef/>
      </w:r>
      <w:r>
        <w:t>Defined per HRPP Policy</w:t>
      </w:r>
    </w:p>
  </w:comment>
  <w:comment w:id="5" w:author="CRRO" w:date="2023-07-03T13:10:00Z" w:initials="CRRO">
    <w:p w14:paraId="71C467A0" w14:textId="5AB0D4B1" w:rsidR="007774F7" w:rsidRDefault="007774F7">
      <w:pPr>
        <w:pStyle w:val="CommentText"/>
      </w:pPr>
      <w:r>
        <w:rPr>
          <w:rStyle w:val="CommentReference"/>
        </w:rPr>
        <w:annotationRef/>
      </w:r>
      <w:r>
        <w:t>Add or delete this and below rows as appropriate. Other reporting authorities could include Lead Team, Sponsor, FDA, external IRB.</w:t>
      </w:r>
      <w:r w:rsidR="00393941">
        <w:t xml:space="preserve"> Additional information for reporting requirements can be added at study team discretion. </w:t>
      </w:r>
      <w:r>
        <w:t xml:space="preserve"> </w:t>
      </w:r>
    </w:p>
  </w:comment>
  <w:comment w:id="6" w:author="CRRO" w:date="2023-07-03T13:11:00Z" w:initials="CRRO">
    <w:p w14:paraId="62C3E6B6" w14:textId="1AE3CD78" w:rsidR="007774F7" w:rsidRDefault="007774F7">
      <w:pPr>
        <w:pStyle w:val="CommentText"/>
      </w:pPr>
      <w:r>
        <w:rPr>
          <w:rStyle w:val="CommentReference"/>
        </w:rPr>
        <w:annotationRef/>
      </w:r>
      <w:r>
        <w:t>THIS IS ONLY AN EXAMPLE</w:t>
      </w:r>
      <w:r w:rsidR="00847E87">
        <w:t xml:space="preserve"> OF A</w:t>
      </w:r>
      <w:r>
        <w:t xml:space="preserve"> DEFINITIONS TABLE.</w:t>
      </w:r>
    </w:p>
    <w:p w14:paraId="3712DE1D" w14:textId="77777777" w:rsidR="007774F7" w:rsidRDefault="007774F7">
      <w:pPr>
        <w:pStyle w:val="CommentText"/>
      </w:pPr>
    </w:p>
    <w:p w14:paraId="2D4850E0" w14:textId="77777777" w:rsidR="007774F7" w:rsidRDefault="007774F7">
      <w:pPr>
        <w:pStyle w:val="CommentText"/>
      </w:pPr>
      <w:r>
        <w:t xml:space="preserve">Delete if definitions are documented in other study documents. </w:t>
      </w:r>
    </w:p>
    <w:p w14:paraId="7E2F4FB8" w14:textId="77777777" w:rsidR="007774F7" w:rsidRDefault="007774F7">
      <w:pPr>
        <w:pStyle w:val="CommentText"/>
      </w:pPr>
    </w:p>
    <w:p w14:paraId="25C70DD7" w14:textId="74D4A2A0" w:rsidR="007774F7" w:rsidRDefault="007774F7">
      <w:pPr>
        <w:pStyle w:val="CommentText"/>
      </w:pPr>
      <w:r>
        <w:t xml:space="preserve">Any definition included here MUST align with policy and study documents.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CB3C0A" w15:done="0"/>
  <w15:commentEx w15:paraId="06666781" w15:done="0"/>
  <w15:commentEx w15:paraId="37DCBF83" w15:done="0"/>
  <w15:commentEx w15:paraId="5ED4B9D2" w15:done="0"/>
  <w15:commentEx w15:paraId="43153834" w15:done="0"/>
  <w15:commentEx w15:paraId="71C467A0" w15:done="0"/>
  <w15:commentEx w15:paraId="25C70D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3D32" w16cex:dateUtc="2023-06-08T16:42:00Z"/>
  <w16cex:commentExtensible w16cex:durableId="287C84DB" w16cex:dateUtc="2023-08-08T14:09:00Z"/>
  <w16cex:commentExtensible w16cex:durableId="287C84F9" w16cex:dateUtc="2023-08-08T14:10:00Z"/>
  <w16cex:commentExtensible w16cex:durableId="284D42E9" w16cex:dateUtc="2023-07-03T17:51:00Z"/>
  <w16cex:commentExtensible w16cex:durableId="284D4144" w16cex:dateUtc="2023-07-03T17:44:00Z"/>
  <w16cex:commentExtensible w16cex:durableId="284D475B" w16cex:dateUtc="2023-07-03T18:10:00Z"/>
  <w16cex:commentExtensible w16cex:durableId="284D4791" w16cex:dateUtc="2023-07-03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CB3C0A" w16cid:durableId="282C3D32"/>
  <w16cid:commentId w16cid:paraId="06666781" w16cid:durableId="287C84DB"/>
  <w16cid:commentId w16cid:paraId="37DCBF83" w16cid:durableId="287C84F9"/>
  <w16cid:commentId w16cid:paraId="5ED4B9D2" w16cid:durableId="284D42E9"/>
  <w16cid:commentId w16cid:paraId="43153834" w16cid:durableId="284D4144"/>
  <w16cid:commentId w16cid:paraId="71C467A0" w16cid:durableId="284D475B"/>
  <w16cid:commentId w16cid:paraId="25C70DD7" w16cid:durableId="284D47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DBB0" w14:textId="77777777" w:rsidR="007E626B" w:rsidRDefault="007E626B" w:rsidP="00341743">
      <w:pPr>
        <w:spacing w:after="0" w:line="240" w:lineRule="auto"/>
      </w:pPr>
      <w:r>
        <w:separator/>
      </w:r>
    </w:p>
  </w:endnote>
  <w:endnote w:type="continuationSeparator" w:id="0">
    <w:p w14:paraId="03C962C9" w14:textId="77777777" w:rsidR="007E626B" w:rsidRDefault="007E626B" w:rsidP="0034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B15" w14:textId="77777777" w:rsidR="001C7E42" w:rsidRDefault="001C7E42" w:rsidP="001C7E42">
    <w:pPr>
      <w:pStyle w:val="Footer"/>
      <w:pBdr>
        <w:bottom w:val="single" w:sz="6" w:space="1" w:color="auto"/>
      </w:pBdr>
      <w:rPr>
        <w:rFonts w:asciiTheme="minorHAnsi" w:hAnsiTheme="minorHAnsi"/>
        <w:i/>
        <w:iCs/>
        <w:sz w:val="20"/>
        <w:szCs w:val="20"/>
        <w:highlight w:val="yellow"/>
      </w:rPr>
    </w:pPr>
  </w:p>
  <w:p w14:paraId="5440CC47" w14:textId="70350703" w:rsidR="004233BB" w:rsidRPr="001C7E42" w:rsidRDefault="001C7E42" w:rsidP="001C7E42">
    <w:pPr>
      <w:rPr>
        <w:rFonts w:asciiTheme="minorHAnsi" w:eastAsia="Calibri" w:hAnsiTheme="minorHAnsi"/>
        <w:i/>
        <w:iCs/>
        <w:sz w:val="20"/>
        <w:szCs w:val="20"/>
      </w:rPr>
    </w:pPr>
    <w:r w:rsidRPr="001B1F9F">
      <w:rPr>
        <w:rFonts w:asciiTheme="minorHAnsi" w:eastAsia="Calibri" w:hAnsiTheme="minorHAnsi"/>
        <w:i/>
        <w:iCs/>
        <w:sz w:val="20"/>
        <w:szCs w:val="20"/>
      </w:rPr>
      <w:t xml:space="preserve">CRRO Template </w:t>
    </w:r>
    <w:r w:rsidR="00D21D6D">
      <w:rPr>
        <w:rFonts w:asciiTheme="minorHAnsi" w:eastAsia="Calibri" w:hAnsiTheme="minorHAnsi"/>
        <w:i/>
        <w:iCs/>
        <w:sz w:val="20"/>
        <w:szCs w:val="20"/>
      </w:rPr>
      <w:t>Version September 12</w:t>
    </w:r>
    <w:r w:rsidR="00D21D6D" w:rsidRPr="00D21D6D">
      <w:rPr>
        <w:rFonts w:asciiTheme="minorHAnsi" w:eastAsia="Calibri" w:hAnsiTheme="minorHAnsi"/>
        <w:i/>
        <w:iCs/>
        <w:sz w:val="20"/>
        <w:szCs w:val="20"/>
        <w:vertAlign w:val="superscript"/>
      </w:rPr>
      <w:t>th</w:t>
    </w:r>
    <w:r w:rsidR="00D21D6D">
      <w:rPr>
        <w:rFonts w:asciiTheme="minorHAnsi" w:eastAsia="Calibri" w:hAnsiTheme="minorHAnsi"/>
        <w:i/>
        <w:iCs/>
        <w:sz w:val="20"/>
        <w:szCs w:val="20"/>
      </w:rPr>
      <w:t>, 2023</w:t>
    </w:r>
    <w:r w:rsidRPr="001B1F9F">
      <w:rPr>
        <w:rFonts w:asciiTheme="minorHAnsi" w:eastAsia="Calibri" w:hAnsiTheme="minorHAnsi"/>
        <w:i/>
        <w:iCs/>
        <w:sz w:val="20"/>
        <w:szCs w:val="20"/>
      </w:rPr>
      <w:ptab w:relativeTo="margin" w:alignment="right" w:leader="none"/>
    </w:r>
    <w:r w:rsidRPr="001B1F9F">
      <w:rPr>
        <w:rFonts w:asciiTheme="minorHAnsi" w:eastAsia="Calibri" w:hAnsiTheme="minorHAnsi"/>
        <w:i/>
        <w:iCs/>
        <w:sz w:val="20"/>
        <w:szCs w:val="20"/>
      </w:rPr>
      <w:t xml:space="preserve">Page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PAGE  \* Arabic  \* MERGEFORMAT </w:instrText>
    </w:r>
    <w:r w:rsidRPr="001B1F9F">
      <w:rPr>
        <w:rFonts w:asciiTheme="minorHAnsi" w:eastAsia="Calibri" w:hAnsiTheme="minorHAnsi"/>
        <w:i/>
        <w:iCs/>
        <w:sz w:val="20"/>
        <w:szCs w:val="20"/>
      </w:rPr>
      <w:fldChar w:fldCharType="separate"/>
    </w:r>
    <w:r>
      <w:rPr>
        <w:rFonts w:asciiTheme="minorHAnsi" w:eastAsia="Calibri" w:hAnsiTheme="minorHAnsi"/>
        <w:i/>
        <w:iCs/>
        <w:sz w:val="20"/>
        <w:szCs w:val="20"/>
      </w:rPr>
      <w:t>1</w:t>
    </w:r>
    <w:r w:rsidRPr="001B1F9F">
      <w:rPr>
        <w:rFonts w:asciiTheme="minorHAnsi" w:eastAsia="Calibri" w:hAnsiTheme="minorHAnsi"/>
        <w:i/>
        <w:iCs/>
        <w:sz w:val="20"/>
        <w:szCs w:val="20"/>
      </w:rPr>
      <w:fldChar w:fldCharType="end"/>
    </w:r>
    <w:r w:rsidRPr="001B1F9F">
      <w:rPr>
        <w:rFonts w:asciiTheme="minorHAnsi" w:eastAsia="Calibri" w:hAnsiTheme="minorHAnsi"/>
        <w:i/>
        <w:iCs/>
        <w:sz w:val="20"/>
        <w:szCs w:val="20"/>
      </w:rPr>
      <w:t xml:space="preserve"> of </w:t>
    </w:r>
    <w:r w:rsidRPr="001B1F9F">
      <w:rPr>
        <w:rFonts w:asciiTheme="minorHAnsi" w:eastAsia="Calibri" w:hAnsiTheme="minorHAnsi"/>
        <w:i/>
        <w:iCs/>
        <w:sz w:val="20"/>
        <w:szCs w:val="20"/>
      </w:rPr>
      <w:fldChar w:fldCharType="begin"/>
    </w:r>
    <w:r w:rsidRPr="001B1F9F">
      <w:rPr>
        <w:rFonts w:asciiTheme="minorHAnsi" w:eastAsia="Calibri" w:hAnsiTheme="minorHAnsi"/>
        <w:i/>
        <w:iCs/>
        <w:sz w:val="20"/>
        <w:szCs w:val="20"/>
      </w:rPr>
      <w:instrText xml:space="preserve"> NUMPAGES  \* Arabic  \* MERGEFORMAT </w:instrText>
    </w:r>
    <w:r w:rsidRPr="001B1F9F">
      <w:rPr>
        <w:rFonts w:asciiTheme="minorHAnsi" w:eastAsia="Calibri" w:hAnsiTheme="minorHAnsi"/>
        <w:i/>
        <w:iCs/>
        <w:sz w:val="20"/>
        <w:szCs w:val="20"/>
      </w:rPr>
      <w:fldChar w:fldCharType="separate"/>
    </w:r>
    <w:r>
      <w:rPr>
        <w:rFonts w:asciiTheme="minorHAnsi" w:eastAsia="Calibri" w:hAnsiTheme="minorHAnsi"/>
        <w:i/>
        <w:iCs/>
        <w:sz w:val="20"/>
        <w:szCs w:val="20"/>
      </w:rPr>
      <w:t>1</w:t>
    </w:r>
    <w:r w:rsidRPr="001B1F9F">
      <w:rPr>
        <w:rFonts w:asciiTheme="minorHAnsi" w:eastAsia="Calibri" w:hAnsiTheme="minorHAns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7040" w14:textId="77777777" w:rsidR="007E626B" w:rsidRDefault="007E626B" w:rsidP="00341743">
      <w:pPr>
        <w:spacing w:after="0" w:line="240" w:lineRule="auto"/>
      </w:pPr>
      <w:r>
        <w:separator/>
      </w:r>
    </w:p>
  </w:footnote>
  <w:footnote w:type="continuationSeparator" w:id="0">
    <w:p w14:paraId="716A00D3" w14:textId="77777777" w:rsidR="007E626B" w:rsidRDefault="007E626B" w:rsidP="0034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5395"/>
      <w:gridCol w:w="5395"/>
    </w:tblGrid>
    <w:tr w:rsidR="001C7E42" w:rsidRPr="001B1F9F" w14:paraId="4C71C344" w14:textId="77777777" w:rsidTr="0003262C">
      <w:trPr>
        <w:trHeight w:val="432"/>
      </w:trPr>
      <w:tc>
        <w:tcPr>
          <w:tcW w:w="5000" w:type="pct"/>
          <w:gridSpan w:val="2"/>
          <w:vAlign w:val="center"/>
        </w:tcPr>
        <w:p w14:paraId="55F5A96E" w14:textId="53A2131F" w:rsidR="001C7E42" w:rsidRPr="00D15EE2" w:rsidRDefault="00D15EE2" w:rsidP="00D15EE2">
          <w:pPr>
            <w:pStyle w:val="Header"/>
            <w:jc w:val="center"/>
            <w:rPr>
              <w:rFonts w:asciiTheme="minorHAnsi" w:hAnsiTheme="minorHAnsi" w:cstheme="minorHAnsi"/>
              <w:b/>
              <w:bCs/>
            </w:rPr>
          </w:pPr>
          <w:r w:rsidRPr="00D15EE2">
            <w:rPr>
              <w:rFonts w:asciiTheme="minorHAnsi" w:hAnsiTheme="minorHAnsi" w:cstheme="minorHAnsi"/>
              <w:b/>
              <w:bCs/>
            </w:rPr>
            <w:t>Adverse Event Form</w:t>
          </w:r>
        </w:p>
      </w:tc>
    </w:tr>
    <w:tr w:rsidR="001C7E42" w:rsidRPr="001B1F9F" w14:paraId="5F114E79" w14:textId="77777777" w:rsidTr="0003262C">
      <w:trPr>
        <w:trHeight w:val="432"/>
      </w:trPr>
      <w:tc>
        <w:tcPr>
          <w:tcW w:w="5000" w:type="pct"/>
          <w:gridSpan w:val="2"/>
          <w:vAlign w:val="center"/>
        </w:tcPr>
        <w:p w14:paraId="435CED88" w14:textId="77777777" w:rsidR="001C7E42" w:rsidRPr="001B1F9F" w:rsidRDefault="001C7E42" w:rsidP="001C7E42">
          <w:pPr>
            <w:pStyle w:val="Header"/>
            <w:rPr>
              <w:rFonts w:asciiTheme="minorHAnsi" w:hAnsiTheme="minorHAnsi" w:cstheme="minorHAnsi"/>
            </w:rPr>
          </w:pPr>
          <w:r w:rsidRPr="001B1F9F">
            <w:rPr>
              <w:rFonts w:asciiTheme="minorHAnsi" w:hAnsiTheme="minorHAnsi" w:cstheme="minorHAnsi"/>
            </w:rPr>
            <w:t>Study Title:</w:t>
          </w:r>
        </w:p>
      </w:tc>
    </w:tr>
    <w:tr w:rsidR="001C7E42" w:rsidRPr="001B1F9F" w14:paraId="214DF938" w14:textId="77777777" w:rsidTr="0003262C">
      <w:trPr>
        <w:trHeight w:val="432"/>
      </w:trPr>
      <w:tc>
        <w:tcPr>
          <w:tcW w:w="2500" w:type="pct"/>
          <w:vAlign w:val="center"/>
        </w:tcPr>
        <w:p w14:paraId="35FC7085" w14:textId="77777777" w:rsidR="001C7E42" w:rsidRPr="001B1F9F" w:rsidRDefault="001C7E42" w:rsidP="001C7E42">
          <w:pPr>
            <w:pStyle w:val="Header"/>
            <w:rPr>
              <w:rFonts w:asciiTheme="minorHAnsi" w:hAnsiTheme="minorHAnsi" w:cstheme="minorHAnsi"/>
            </w:rPr>
          </w:pPr>
          <w:r>
            <w:rPr>
              <w:rFonts w:asciiTheme="minorHAnsi" w:hAnsiTheme="minorHAnsi" w:cstheme="minorHAnsi"/>
            </w:rPr>
            <w:t>IRB #:</w:t>
          </w:r>
        </w:p>
      </w:tc>
      <w:tc>
        <w:tcPr>
          <w:tcW w:w="2500" w:type="pct"/>
          <w:vAlign w:val="center"/>
        </w:tcPr>
        <w:p w14:paraId="30755BC2" w14:textId="77777777" w:rsidR="001C7E42" w:rsidRPr="001B1F9F" w:rsidRDefault="001C7E42" w:rsidP="001C7E42">
          <w:pPr>
            <w:pStyle w:val="Header"/>
            <w:rPr>
              <w:rFonts w:asciiTheme="minorHAnsi" w:hAnsiTheme="minorHAnsi" w:cstheme="minorHAnsi"/>
            </w:rPr>
          </w:pPr>
          <w:r>
            <w:rPr>
              <w:rFonts w:asciiTheme="minorHAnsi" w:hAnsiTheme="minorHAnsi" w:cstheme="minorHAnsi"/>
            </w:rPr>
            <w:t xml:space="preserve">PI Name: </w:t>
          </w:r>
        </w:p>
      </w:tc>
    </w:tr>
    <w:tr w:rsidR="001C7E42" w14:paraId="15551789" w14:textId="77777777" w:rsidTr="0003262C">
      <w:trPr>
        <w:trHeight w:val="432"/>
      </w:trPr>
      <w:tc>
        <w:tcPr>
          <w:tcW w:w="5000" w:type="pct"/>
          <w:gridSpan w:val="2"/>
          <w:vAlign w:val="center"/>
        </w:tcPr>
        <w:p w14:paraId="475EA7B8" w14:textId="77777777" w:rsidR="001C7E42" w:rsidRDefault="001C7E42" w:rsidP="001C7E42">
          <w:pPr>
            <w:pStyle w:val="Header"/>
            <w:rPr>
              <w:rFonts w:asciiTheme="minorHAnsi" w:hAnsiTheme="minorHAnsi" w:cstheme="minorHAnsi"/>
            </w:rPr>
          </w:pPr>
          <w:r>
            <w:rPr>
              <w:rFonts w:asciiTheme="minorHAnsi" w:hAnsiTheme="minorHAnsi" w:cstheme="minorHAnsi"/>
            </w:rPr>
            <w:t xml:space="preserve">Participant ID: </w:t>
          </w:r>
        </w:p>
      </w:tc>
    </w:tr>
  </w:tbl>
  <w:p w14:paraId="453D18E4" w14:textId="0AAF5C75" w:rsidR="005A79CF" w:rsidRPr="004233BB" w:rsidRDefault="005A79CF" w:rsidP="00FC730B">
    <w:pPr>
      <w:pStyle w:val="Header"/>
      <w:rPr>
        <w:rFonts w:asciiTheme="minorHAnsi" w:hAnsiTheme="minorHAnsi"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CE841826"/>
    <w:lvl w:ilvl="0" w:tplc="DB1E9ABC">
      <w:start w:val="1"/>
      <w:numFmt w:val="bullet"/>
      <w:lvlText w:val=""/>
      <w:lvlJc w:val="left"/>
      <w:pPr>
        <w:ind w:left="360" w:hanging="360"/>
      </w:pPr>
      <w:rPr>
        <w:rFonts w:ascii="Symbol" w:hAnsi="Symbol" w:hint="default"/>
        <w:color w:val="FF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924EE"/>
    <w:multiLevelType w:val="hybridMultilevel"/>
    <w:tmpl w:val="2AF8B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97915"/>
    <w:multiLevelType w:val="hybridMultilevel"/>
    <w:tmpl w:val="D8A2572A"/>
    <w:lvl w:ilvl="0" w:tplc="FE1614E0">
      <w:start w:val="1"/>
      <w:numFmt w:val="bullet"/>
      <w:lvlText w:val="o"/>
      <w:lvlJc w:val="left"/>
      <w:pPr>
        <w:ind w:left="360" w:hanging="360"/>
      </w:pPr>
      <w:rPr>
        <w:rFonts w:ascii="Courier New" w:hAnsi="Courier New" w:hint="default"/>
        <w:sz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66EE9"/>
    <w:multiLevelType w:val="hybridMultilevel"/>
    <w:tmpl w:val="3956F4A4"/>
    <w:lvl w:ilvl="0" w:tplc="664A7F54">
      <w:start w:val="1"/>
      <w:numFmt w:val="bullet"/>
      <w:lvlText w:val="o"/>
      <w:lvlJc w:val="left"/>
      <w:pPr>
        <w:ind w:left="360" w:hanging="360"/>
      </w:pPr>
      <w:rPr>
        <w:rFonts w:ascii="Courier New" w:hAnsi="Courier New" w:hint="default"/>
        <w:sz w:val="32"/>
      </w:rPr>
    </w:lvl>
    <w:lvl w:ilvl="1" w:tplc="CE4CCE7A">
      <w:start w:val="1"/>
      <w:numFmt w:val="bullet"/>
      <w:lvlText w:val="o"/>
      <w:lvlJc w:val="left"/>
      <w:pPr>
        <w:ind w:left="72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660E3"/>
    <w:multiLevelType w:val="hybridMultilevel"/>
    <w:tmpl w:val="49D6F6A2"/>
    <w:lvl w:ilvl="0" w:tplc="29DADC14">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A4E08"/>
    <w:multiLevelType w:val="hybridMultilevel"/>
    <w:tmpl w:val="B4C21F34"/>
    <w:lvl w:ilvl="0" w:tplc="58E602CE">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686CDC"/>
    <w:multiLevelType w:val="hybridMultilevel"/>
    <w:tmpl w:val="2D58E15A"/>
    <w:lvl w:ilvl="0" w:tplc="FD4CD9F4">
      <w:start w:val="1"/>
      <w:numFmt w:val="bullet"/>
      <w:lvlText w:val=""/>
      <w:lvlJc w:val="left"/>
      <w:pPr>
        <w:tabs>
          <w:tab w:val="num" w:pos="1080"/>
        </w:tabs>
        <w:ind w:left="360" w:hanging="360"/>
      </w:pPr>
      <w:rPr>
        <w:rFonts w:ascii="Symbol" w:hAnsi="Symbol"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A87366"/>
    <w:multiLevelType w:val="hybridMultilevel"/>
    <w:tmpl w:val="0EB2076A"/>
    <w:lvl w:ilvl="0" w:tplc="E1E0CEF4">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AD0"/>
    <w:multiLevelType w:val="hybridMultilevel"/>
    <w:tmpl w:val="F1A87D08"/>
    <w:lvl w:ilvl="0" w:tplc="605889A2">
      <w:start w:val="1"/>
      <w:numFmt w:val="bullet"/>
      <w:lvlText w:val="o"/>
      <w:lvlJc w:val="left"/>
      <w:pPr>
        <w:ind w:left="720" w:hanging="360"/>
      </w:pPr>
      <w:rPr>
        <w:rFonts w:ascii="Courier New" w:hAnsi="Courier New" w:cs="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9187E"/>
    <w:multiLevelType w:val="hybridMultilevel"/>
    <w:tmpl w:val="E0D4B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553ED6"/>
    <w:multiLevelType w:val="hybridMultilevel"/>
    <w:tmpl w:val="E9A2A7C4"/>
    <w:lvl w:ilvl="0" w:tplc="8B862F4C">
      <w:start w:val="2"/>
      <w:numFmt w:val="decimal"/>
      <w:lvlText w:val="%1."/>
      <w:lvlJc w:val="left"/>
      <w:pPr>
        <w:tabs>
          <w:tab w:val="num" w:pos="108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4294DE5"/>
    <w:multiLevelType w:val="hybridMultilevel"/>
    <w:tmpl w:val="FC00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D2128"/>
    <w:multiLevelType w:val="hybridMultilevel"/>
    <w:tmpl w:val="0A4667FE"/>
    <w:lvl w:ilvl="0" w:tplc="3258C90A">
      <w:start w:val="1"/>
      <w:numFmt w:val="bullet"/>
      <w:lvlText w:val="o"/>
      <w:lvlJc w:val="left"/>
      <w:pPr>
        <w:ind w:left="360" w:hanging="360"/>
      </w:pPr>
      <w:rPr>
        <w:rFonts w:ascii="Courier New" w:hAnsi="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A3D4E"/>
    <w:multiLevelType w:val="multilevel"/>
    <w:tmpl w:val="EE54AA32"/>
    <w:lvl w:ilvl="0">
      <w:start w:val="1"/>
      <w:numFmt w:val="bullet"/>
      <w:lvlText w:val="o"/>
      <w:lvlJc w:val="left"/>
      <w:pPr>
        <w:ind w:left="360" w:hanging="360"/>
      </w:pPr>
      <w:rPr>
        <w:rFonts w:ascii="Courier New" w:eastAsia="Courier New" w:hAnsi="Courier New" w:cs="Courier New"/>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BCC38B5"/>
    <w:multiLevelType w:val="hybridMultilevel"/>
    <w:tmpl w:val="306063CA"/>
    <w:lvl w:ilvl="0" w:tplc="CBEEE076">
      <w:start w:val="1"/>
      <w:numFmt w:val="bullet"/>
      <w:lvlText w:val="o"/>
      <w:lvlJc w:val="left"/>
      <w:pPr>
        <w:ind w:left="36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42874"/>
    <w:multiLevelType w:val="hybridMultilevel"/>
    <w:tmpl w:val="5A62F0C8"/>
    <w:lvl w:ilvl="0" w:tplc="3258C90A">
      <w:start w:val="1"/>
      <w:numFmt w:val="bullet"/>
      <w:lvlText w:val="o"/>
      <w:lvlJc w:val="left"/>
      <w:pPr>
        <w:tabs>
          <w:tab w:val="num" w:pos="1080"/>
        </w:tabs>
        <w:ind w:left="360" w:hanging="360"/>
      </w:pPr>
      <w:rPr>
        <w:rFonts w:ascii="Courier New" w:hAnsi="Courier New" w:hint="default"/>
        <w:b/>
        <w:sz w:val="4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12"/>
  </w:num>
  <w:num w:numId="4">
    <w:abstractNumId w:val="14"/>
  </w:num>
  <w:num w:numId="5">
    <w:abstractNumId w:val="8"/>
  </w:num>
  <w:num w:numId="6">
    <w:abstractNumId w:val="3"/>
  </w:num>
  <w:num w:numId="7">
    <w:abstractNumId w:val="7"/>
  </w:num>
  <w:num w:numId="8">
    <w:abstractNumId w:val="2"/>
  </w:num>
  <w:num w:numId="9">
    <w:abstractNumId w:val="13"/>
  </w:num>
  <w:num w:numId="10">
    <w:abstractNumId w:val="4"/>
  </w:num>
  <w:num w:numId="11">
    <w:abstractNumId w:val="10"/>
  </w:num>
  <w:num w:numId="12">
    <w:abstractNumId w:val="5"/>
  </w:num>
  <w:num w:numId="13">
    <w:abstractNumId w:val="15"/>
  </w:num>
  <w:num w:numId="14">
    <w:abstractNumId w:val="6"/>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7D"/>
    <w:rsid w:val="00035513"/>
    <w:rsid w:val="000A1196"/>
    <w:rsid w:val="000B7911"/>
    <w:rsid w:val="000C267C"/>
    <w:rsid w:val="000E604D"/>
    <w:rsid w:val="000F28E8"/>
    <w:rsid w:val="00144622"/>
    <w:rsid w:val="00187BBA"/>
    <w:rsid w:val="001A40E1"/>
    <w:rsid w:val="001A5156"/>
    <w:rsid w:val="001C7E42"/>
    <w:rsid w:val="001E0BC8"/>
    <w:rsid w:val="00215BEC"/>
    <w:rsid w:val="00290538"/>
    <w:rsid w:val="002E7501"/>
    <w:rsid w:val="002E7C8E"/>
    <w:rsid w:val="00302D87"/>
    <w:rsid w:val="00337128"/>
    <w:rsid w:val="00341743"/>
    <w:rsid w:val="00355416"/>
    <w:rsid w:val="00373875"/>
    <w:rsid w:val="00373C65"/>
    <w:rsid w:val="00373C6A"/>
    <w:rsid w:val="00393941"/>
    <w:rsid w:val="00414D71"/>
    <w:rsid w:val="004233BB"/>
    <w:rsid w:val="004909BE"/>
    <w:rsid w:val="005221BA"/>
    <w:rsid w:val="0053140D"/>
    <w:rsid w:val="005A79CF"/>
    <w:rsid w:val="005B1FC1"/>
    <w:rsid w:val="006648EF"/>
    <w:rsid w:val="00687F31"/>
    <w:rsid w:val="006B45D1"/>
    <w:rsid w:val="006F1416"/>
    <w:rsid w:val="00705AB6"/>
    <w:rsid w:val="007774F7"/>
    <w:rsid w:val="007E626B"/>
    <w:rsid w:val="008254BA"/>
    <w:rsid w:val="00847E87"/>
    <w:rsid w:val="00864EF9"/>
    <w:rsid w:val="0089573A"/>
    <w:rsid w:val="008C7179"/>
    <w:rsid w:val="008F0CAC"/>
    <w:rsid w:val="00905D90"/>
    <w:rsid w:val="009511E3"/>
    <w:rsid w:val="009B60FE"/>
    <w:rsid w:val="00A121E4"/>
    <w:rsid w:val="00A4121E"/>
    <w:rsid w:val="00B30FD6"/>
    <w:rsid w:val="00B6438C"/>
    <w:rsid w:val="00B714AE"/>
    <w:rsid w:val="00B75946"/>
    <w:rsid w:val="00B870A8"/>
    <w:rsid w:val="00BE2DB6"/>
    <w:rsid w:val="00BF44ED"/>
    <w:rsid w:val="00BF5DD6"/>
    <w:rsid w:val="00C23967"/>
    <w:rsid w:val="00C34B44"/>
    <w:rsid w:val="00C4304F"/>
    <w:rsid w:val="00C51655"/>
    <w:rsid w:val="00D038E9"/>
    <w:rsid w:val="00D15EE2"/>
    <w:rsid w:val="00D21D6D"/>
    <w:rsid w:val="00D35E23"/>
    <w:rsid w:val="00D5748C"/>
    <w:rsid w:val="00E47896"/>
    <w:rsid w:val="00E70A40"/>
    <w:rsid w:val="00EE68FF"/>
    <w:rsid w:val="00F57E0B"/>
    <w:rsid w:val="00F63D7D"/>
    <w:rsid w:val="00F70D35"/>
    <w:rsid w:val="00F802A8"/>
    <w:rsid w:val="00FC4D40"/>
    <w:rsid w:val="00FC730B"/>
    <w:rsid w:val="00FE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F86EE"/>
  <w15:chartTrackingRefBased/>
  <w15:docId w15:val="{D2FEA668-0574-4003-98FB-F0099F2E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C7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7D"/>
    <w:pPr>
      <w:ind w:left="720"/>
      <w:contextualSpacing/>
    </w:pPr>
  </w:style>
  <w:style w:type="table" w:styleId="TableGrid">
    <w:name w:val="Table Grid"/>
    <w:basedOn w:val="TableNormal"/>
    <w:uiPriority w:val="39"/>
    <w:rsid w:val="00FE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43"/>
    <w:rPr>
      <w:rFonts w:ascii="Calibri" w:eastAsia="Times New Roman" w:hAnsi="Calibri" w:cs="Times New Roman"/>
    </w:rPr>
  </w:style>
  <w:style w:type="paragraph" w:styleId="Footer">
    <w:name w:val="footer"/>
    <w:basedOn w:val="Normal"/>
    <w:link w:val="FooterChar"/>
    <w:uiPriority w:val="99"/>
    <w:unhideWhenUsed/>
    <w:rsid w:val="00341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43"/>
    <w:rPr>
      <w:rFonts w:ascii="Calibri" w:eastAsia="Times New Roman" w:hAnsi="Calibri" w:cs="Times New Roman"/>
    </w:rPr>
  </w:style>
  <w:style w:type="character" w:styleId="Hyperlink">
    <w:name w:val="Hyperlink"/>
    <w:uiPriority w:val="99"/>
    <w:rsid w:val="001C7E42"/>
    <w:rPr>
      <w:rFonts w:ascii="Arial" w:hAnsi="Arial" w:cs="Times New Roman"/>
      <w:color w:val="0000FF"/>
      <w:sz w:val="22"/>
      <w:u w:val="single"/>
    </w:rPr>
  </w:style>
  <w:style w:type="character" w:styleId="CommentReference">
    <w:name w:val="annotation reference"/>
    <w:basedOn w:val="DefaultParagraphFont"/>
    <w:uiPriority w:val="99"/>
    <w:semiHidden/>
    <w:unhideWhenUsed/>
    <w:rsid w:val="001C7E42"/>
    <w:rPr>
      <w:sz w:val="16"/>
      <w:szCs w:val="16"/>
    </w:rPr>
  </w:style>
  <w:style w:type="paragraph" w:styleId="CommentText">
    <w:name w:val="annotation text"/>
    <w:basedOn w:val="Normal"/>
    <w:link w:val="CommentTextChar"/>
    <w:uiPriority w:val="99"/>
    <w:semiHidden/>
    <w:unhideWhenUsed/>
    <w:rsid w:val="001C7E4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C7E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21BA"/>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5221BA"/>
    <w:rPr>
      <w:rFonts w:ascii="Calibri" w:eastAsia="Times New Roman" w:hAnsi="Calibri" w:cs="Times New Roman"/>
      <w:b/>
      <w:bCs/>
      <w:sz w:val="20"/>
      <w:szCs w:val="20"/>
    </w:rPr>
  </w:style>
  <w:style w:type="character" w:styleId="UnresolvedMention">
    <w:name w:val="Unresolved Mention"/>
    <w:basedOn w:val="DefaultParagraphFont"/>
    <w:uiPriority w:val="99"/>
    <w:semiHidden/>
    <w:unhideWhenUsed/>
    <w:rsid w:val="00355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ctep.cancer.gov/protocoldevelopment/electronic_applications/ctc.htm"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bumc.bu.edu/ohra/required-training/institutional-standard-operating-procedures-sop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mc.bu.edu/ohra/hrpp-policies/hrpp-policies-procedures/"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Leed</dc:creator>
  <cp:keywords/>
  <dc:description/>
  <cp:lastModifiedBy>Rana Leed</cp:lastModifiedBy>
  <cp:revision>3</cp:revision>
  <cp:lastPrinted>2021-11-15T21:22:00Z</cp:lastPrinted>
  <dcterms:created xsi:type="dcterms:W3CDTF">2023-09-12T16:02:00Z</dcterms:created>
  <dcterms:modified xsi:type="dcterms:W3CDTF">2023-09-13T14:40:00Z</dcterms:modified>
</cp:coreProperties>
</file>