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63" w:rsidRDefault="00852663" w:rsidP="00852663">
      <w:r>
        <w:t xml:space="preserve">Dear Colleague, </w:t>
      </w:r>
    </w:p>
    <w:p w:rsidR="00852663" w:rsidRDefault="00852663" w:rsidP="00852663">
      <w:pPr>
        <w:spacing w:before="100" w:beforeAutospacing="1" w:after="100" w:afterAutospacing="1"/>
      </w:pPr>
      <w:r>
        <w:t xml:space="preserve">Accounts Payable is going green! Given the frequency of reimbursement checks that you have received recently, please consider registering for the </w:t>
      </w:r>
      <w:proofErr w:type="spellStart"/>
      <w:r>
        <w:t>Paymode</w:t>
      </w:r>
      <w:proofErr w:type="spellEnd"/>
      <w:r>
        <w:t xml:space="preserve"> for Reimbursements direct deposit program. These expense reimbursements are completely separate from Payroll direct deposits and can be made to the same bank account as your paycheck, or to a different bank account, based on your own preference. We already have over 1,000 employees signed up and successfully receiving reimbursements via this new program. </w:t>
      </w:r>
    </w:p>
    <w:p w:rsidR="00852663" w:rsidRDefault="00852663" w:rsidP="00852663">
      <w:pPr>
        <w:spacing w:before="100" w:beforeAutospacing="1" w:after="100" w:afterAutospacing="1"/>
      </w:pPr>
      <w:r>
        <w:t xml:space="preserve">If you are interested in signing up for the direct deposit program, please follow the directions below to add your bank information for expense reimbursements in the </w:t>
      </w:r>
      <w:r>
        <w:rPr>
          <w:b/>
          <w:bCs/>
        </w:rPr>
        <w:t>‘Benefits and Pay’</w:t>
      </w:r>
      <w:r>
        <w:t xml:space="preserve"> section of Employee Self-Service (accessed through the BUworks Portal). *Please make note of the browsers recommended for best results below.</w:t>
      </w:r>
    </w:p>
    <w:p w:rsidR="00852663" w:rsidRDefault="00852663" w:rsidP="00852663">
      <w:pPr>
        <w:spacing w:before="100" w:beforeAutospacing="1" w:after="100" w:afterAutospacing="1"/>
      </w:pPr>
      <w:r>
        <w:t> </w:t>
      </w:r>
      <w:r>
        <w:rPr>
          <w:noProof/>
          <w:color w:val="1F497D"/>
        </w:rPr>
        <w:drawing>
          <wp:inline distT="0" distB="0" distL="0" distR="0">
            <wp:extent cx="7800975" cy="1981200"/>
            <wp:effectExtent l="0" t="0" r="9525" b="0"/>
            <wp:docPr id="4" name="Picture 4" descr="cid:image001.png@01CEF1C5.32E73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F1C5.32E73E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800975" cy="1981200"/>
                    </a:xfrm>
                    <a:prstGeom prst="rect">
                      <a:avLst/>
                    </a:prstGeom>
                    <a:noFill/>
                    <a:ln>
                      <a:noFill/>
                    </a:ln>
                  </pic:spPr>
                </pic:pic>
              </a:graphicData>
            </a:graphic>
          </wp:inline>
        </w:drawing>
      </w:r>
    </w:p>
    <w:p w:rsidR="00852663" w:rsidRDefault="00852663" w:rsidP="00852663">
      <w:pPr>
        <w:spacing w:before="100" w:beforeAutospacing="1" w:after="100" w:afterAutospacing="1"/>
      </w:pPr>
      <w:r>
        <w:t> </w:t>
      </w:r>
    </w:p>
    <w:tbl>
      <w:tblPr>
        <w:tblW w:w="0" w:type="auto"/>
        <w:tblCellMar>
          <w:left w:w="0" w:type="dxa"/>
          <w:right w:w="0" w:type="dxa"/>
        </w:tblCellMar>
        <w:tblLook w:val="04A0" w:firstRow="1" w:lastRow="0" w:firstColumn="1" w:lastColumn="0" w:noHBand="0" w:noVBand="1"/>
      </w:tblPr>
      <w:tblGrid>
        <w:gridCol w:w="9576"/>
      </w:tblGrid>
      <w:tr w:rsidR="00852663" w:rsidTr="00852663">
        <w:tc>
          <w:tcPr>
            <w:tcW w:w="9345" w:type="dxa"/>
            <w:tcMar>
              <w:top w:w="0" w:type="dxa"/>
              <w:left w:w="108" w:type="dxa"/>
              <w:bottom w:w="0" w:type="dxa"/>
              <w:right w:w="108" w:type="dxa"/>
            </w:tcMar>
            <w:hideMark/>
          </w:tcPr>
          <w:p w:rsidR="00852663" w:rsidRDefault="00852663">
            <w:pPr>
              <w:pStyle w:val="NormalWeb"/>
            </w:pPr>
            <w:r>
              <w:t xml:space="preserve">1.   Click on the </w:t>
            </w:r>
            <w:r>
              <w:rPr>
                <w:b/>
                <w:bCs/>
              </w:rPr>
              <w:t>‘Direct Deposit’</w:t>
            </w:r>
            <w:r>
              <w:t xml:space="preserve"> section.</w:t>
            </w:r>
          </w:p>
        </w:tc>
      </w:tr>
      <w:tr w:rsidR="00852663" w:rsidTr="00852663">
        <w:tc>
          <w:tcPr>
            <w:tcW w:w="9345" w:type="dxa"/>
            <w:tcMar>
              <w:top w:w="0" w:type="dxa"/>
              <w:left w:w="108" w:type="dxa"/>
              <w:bottom w:w="0" w:type="dxa"/>
              <w:right w:w="108" w:type="dxa"/>
            </w:tcMar>
            <w:hideMark/>
          </w:tcPr>
          <w:p w:rsidR="00852663" w:rsidRDefault="00852663">
            <w:pPr>
              <w:spacing w:before="100" w:beforeAutospacing="1" w:after="100" w:afterAutospacing="1"/>
              <w:jc w:val="center"/>
              <w:rPr>
                <w:color w:val="1F497D"/>
              </w:rPr>
            </w:pPr>
            <w:r>
              <w:rPr>
                <w:noProof/>
                <w:color w:val="1F497D"/>
              </w:rPr>
              <w:lastRenderedPageBreak/>
              <w:drawing>
                <wp:inline distT="0" distB="0" distL="0" distR="0">
                  <wp:extent cx="5219700" cy="7038975"/>
                  <wp:effectExtent l="0" t="0" r="0" b="9525"/>
                  <wp:docPr id="3" name="Picture 3" descr="cid:image005.png@01CEF1C3.DAB1B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CEF1C3.DAB1B8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19700" cy="7038975"/>
                          </a:xfrm>
                          <a:prstGeom prst="rect">
                            <a:avLst/>
                          </a:prstGeom>
                          <a:noFill/>
                          <a:ln>
                            <a:noFill/>
                          </a:ln>
                        </pic:spPr>
                      </pic:pic>
                    </a:graphicData>
                  </a:graphic>
                </wp:inline>
              </w:drawing>
            </w:r>
          </w:p>
        </w:tc>
      </w:tr>
      <w:tr w:rsidR="00852663" w:rsidTr="00852663">
        <w:tc>
          <w:tcPr>
            <w:tcW w:w="9345" w:type="dxa"/>
            <w:tcMar>
              <w:top w:w="0" w:type="dxa"/>
              <w:left w:w="108" w:type="dxa"/>
              <w:bottom w:w="0" w:type="dxa"/>
              <w:right w:w="108" w:type="dxa"/>
            </w:tcMar>
            <w:hideMark/>
          </w:tcPr>
          <w:p w:rsidR="00852663" w:rsidRDefault="00852663">
            <w:pPr>
              <w:spacing w:before="100" w:beforeAutospacing="1" w:after="100" w:afterAutospacing="1"/>
            </w:pPr>
            <w:r>
              <w:t xml:space="preserve">2.   Then click on </w:t>
            </w:r>
            <w:r>
              <w:rPr>
                <w:b/>
                <w:bCs/>
              </w:rPr>
              <w:t>‘Add’</w:t>
            </w:r>
            <w:r>
              <w:t xml:space="preserve"> and select ‘</w:t>
            </w:r>
            <w:r>
              <w:rPr>
                <w:b/>
                <w:bCs/>
              </w:rPr>
              <w:t>Expense Reimbursement bank’</w:t>
            </w:r>
            <w:r>
              <w:t>.</w:t>
            </w:r>
          </w:p>
        </w:tc>
      </w:tr>
      <w:tr w:rsidR="00852663" w:rsidTr="00852663">
        <w:tc>
          <w:tcPr>
            <w:tcW w:w="9345" w:type="dxa"/>
            <w:tcMar>
              <w:top w:w="0" w:type="dxa"/>
              <w:left w:w="108" w:type="dxa"/>
              <w:bottom w:w="0" w:type="dxa"/>
              <w:right w:w="108" w:type="dxa"/>
            </w:tcMar>
            <w:hideMark/>
          </w:tcPr>
          <w:p w:rsidR="00852663" w:rsidRDefault="00852663">
            <w:pPr>
              <w:spacing w:before="100" w:beforeAutospacing="1" w:after="100" w:afterAutospacing="1"/>
              <w:jc w:val="center"/>
              <w:rPr>
                <w:color w:val="1F497D"/>
              </w:rPr>
            </w:pPr>
            <w:r>
              <w:rPr>
                <w:noProof/>
                <w:color w:val="1F497D"/>
              </w:rPr>
              <w:drawing>
                <wp:inline distT="0" distB="0" distL="0" distR="0">
                  <wp:extent cx="3209925" cy="962025"/>
                  <wp:effectExtent l="0" t="0" r="9525" b="9525"/>
                  <wp:docPr id="2" name="Picture 2" descr="cid:image006.png@01CEF1C3.DAB1B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CEF1C3.DAB1B8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09925" cy="962025"/>
                          </a:xfrm>
                          <a:prstGeom prst="rect">
                            <a:avLst/>
                          </a:prstGeom>
                          <a:noFill/>
                          <a:ln>
                            <a:noFill/>
                          </a:ln>
                        </pic:spPr>
                      </pic:pic>
                    </a:graphicData>
                  </a:graphic>
                </wp:inline>
              </w:drawing>
            </w:r>
          </w:p>
        </w:tc>
      </w:tr>
      <w:tr w:rsidR="00852663" w:rsidTr="00852663">
        <w:tc>
          <w:tcPr>
            <w:tcW w:w="9345" w:type="dxa"/>
            <w:tcMar>
              <w:top w:w="0" w:type="dxa"/>
              <w:left w:w="108" w:type="dxa"/>
              <w:bottom w:w="0" w:type="dxa"/>
              <w:right w:w="108" w:type="dxa"/>
            </w:tcMar>
            <w:hideMark/>
          </w:tcPr>
          <w:p w:rsidR="00852663" w:rsidRDefault="00852663">
            <w:pPr>
              <w:pStyle w:val="NormalWeb"/>
              <w:rPr>
                <w:color w:val="1F497D"/>
              </w:rPr>
            </w:pPr>
            <w:r>
              <w:lastRenderedPageBreak/>
              <w:t xml:space="preserve">3.   Enter your </w:t>
            </w:r>
            <w:r>
              <w:rPr>
                <w:b/>
                <w:bCs/>
              </w:rPr>
              <w:t>routing</w:t>
            </w:r>
            <w:r>
              <w:t xml:space="preserve"> and </w:t>
            </w:r>
            <w:r>
              <w:rPr>
                <w:b/>
                <w:bCs/>
              </w:rPr>
              <w:t>bank account number</w:t>
            </w:r>
            <w:r>
              <w:t xml:space="preserve"> and specify the type of account (</w:t>
            </w:r>
            <w:r>
              <w:rPr>
                <w:b/>
                <w:bCs/>
              </w:rPr>
              <w:t>checking/saving</w:t>
            </w:r>
            <w:r>
              <w:t xml:space="preserve">). For ‘Payment Method’, select </w:t>
            </w:r>
            <w:r>
              <w:rPr>
                <w:b/>
                <w:bCs/>
              </w:rPr>
              <w:t>‘Bank Transfer (ACH PPD)’</w:t>
            </w:r>
            <w:r>
              <w:t xml:space="preserve">. </w:t>
            </w:r>
            <w:r>
              <w:rPr>
                <w:color w:val="FF0000"/>
              </w:rPr>
              <w:t xml:space="preserve">Please do not fill in any information in the “Note to Payee”, “Percentage of Net” or “Flat Amount” fields. </w:t>
            </w:r>
          </w:p>
        </w:tc>
      </w:tr>
      <w:tr w:rsidR="00852663" w:rsidTr="00852663">
        <w:tc>
          <w:tcPr>
            <w:tcW w:w="9345" w:type="dxa"/>
            <w:tcMar>
              <w:top w:w="0" w:type="dxa"/>
              <w:left w:w="108" w:type="dxa"/>
              <w:bottom w:w="0" w:type="dxa"/>
              <w:right w:w="108" w:type="dxa"/>
            </w:tcMar>
            <w:hideMark/>
          </w:tcPr>
          <w:p w:rsidR="00852663" w:rsidRDefault="00852663">
            <w:pPr>
              <w:spacing w:before="100" w:beforeAutospacing="1" w:after="100" w:afterAutospacing="1"/>
              <w:jc w:val="center"/>
            </w:pPr>
            <w:r>
              <w:rPr>
                <w:noProof/>
                <w:color w:val="1F497D"/>
              </w:rPr>
              <w:drawing>
                <wp:inline distT="0" distB="0" distL="0" distR="0">
                  <wp:extent cx="6067425" cy="4562475"/>
                  <wp:effectExtent l="0" t="0" r="9525" b="9525"/>
                  <wp:docPr id="1" name="Picture 1" descr="cid:image003.png@01CEF1C4.C178B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EF1C4.C178B3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67425" cy="4562475"/>
                          </a:xfrm>
                          <a:prstGeom prst="rect">
                            <a:avLst/>
                          </a:prstGeom>
                          <a:noFill/>
                          <a:ln>
                            <a:noFill/>
                          </a:ln>
                        </pic:spPr>
                      </pic:pic>
                    </a:graphicData>
                  </a:graphic>
                </wp:inline>
              </w:drawing>
            </w:r>
          </w:p>
        </w:tc>
      </w:tr>
      <w:tr w:rsidR="00852663" w:rsidTr="00852663">
        <w:tc>
          <w:tcPr>
            <w:tcW w:w="9345" w:type="dxa"/>
            <w:tcMar>
              <w:top w:w="0" w:type="dxa"/>
              <w:left w:w="108" w:type="dxa"/>
              <w:bottom w:w="0" w:type="dxa"/>
              <w:right w:w="108" w:type="dxa"/>
            </w:tcMar>
          </w:tcPr>
          <w:p w:rsidR="00852663" w:rsidRDefault="00852663">
            <w:pPr>
              <w:spacing w:before="100" w:beforeAutospacing="1" w:after="100" w:afterAutospacing="1"/>
              <w:jc w:val="center"/>
              <w:rPr>
                <w:rFonts w:ascii="Calibri" w:hAnsi="Calibri"/>
                <w:color w:val="1F497D"/>
                <w:sz w:val="22"/>
                <w:szCs w:val="22"/>
              </w:rPr>
            </w:pPr>
          </w:p>
        </w:tc>
      </w:tr>
      <w:tr w:rsidR="00852663" w:rsidTr="00852663">
        <w:tc>
          <w:tcPr>
            <w:tcW w:w="9345" w:type="dxa"/>
            <w:tcMar>
              <w:top w:w="0" w:type="dxa"/>
              <w:left w:w="108" w:type="dxa"/>
              <w:bottom w:w="0" w:type="dxa"/>
              <w:right w:w="108" w:type="dxa"/>
            </w:tcMar>
            <w:hideMark/>
          </w:tcPr>
          <w:p w:rsidR="00852663" w:rsidRDefault="00852663">
            <w:pPr>
              <w:pStyle w:val="NormalWeb"/>
            </w:pPr>
            <w:r>
              <w:t xml:space="preserve">4.   Hit </w:t>
            </w:r>
            <w:r>
              <w:rPr>
                <w:b/>
                <w:bCs/>
              </w:rPr>
              <w:t>‘Save’</w:t>
            </w:r>
            <w:r>
              <w:t xml:space="preserve">. Please allow up to 3 business days for the change to go into effect. </w:t>
            </w:r>
          </w:p>
        </w:tc>
      </w:tr>
    </w:tbl>
    <w:p w:rsidR="00852663" w:rsidRDefault="00852663" w:rsidP="00852663">
      <w:pPr>
        <w:spacing w:before="100" w:beforeAutospacing="1" w:after="100" w:afterAutospacing="1"/>
        <w:rPr>
          <w:rFonts w:ascii="Calibri" w:hAnsi="Calibri"/>
          <w:color w:val="1F497D"/>
          <w:sz w:val="22"/>
          <w:szCs w:val="22"/>
        </w:rPr>
      </w:pPr>
    </w:p>
    <w:p w:rsidR="00852663" w:rsidRDefault="00852663" w:rsidP="00852663">
      <w:pPr>
        <w:spacing w:before="100" w:beforeAutospacing="1" w:after="100" w:afterAutospacing="1"/>
      </w:pPr>
      <w:r>
        <w:t xml:space="preserve">If you need to change your bank information in the future, or want to discontinue the use of direct deposit, this information can be edited in ESS or removed at any time, via these same screens in Employee-Self Service. If you have any questions regarding the </w:t>
      </w:r>
      <w:proofErr w:type="spellStart"/>
      <w:r>
        <w:t>Paymode</w:t>
      </w:r>
      <w:proofErr w:type="spellEnd"/>
      <w:r>
        <w:t xml:space="preserve"> direct deposit program, please send an email to </w:t>
      </w:r>
      <w:hyperlink r:id="rId13" w:tgtFrame="_blank" w:history="1">
        <w:r>
          <w:rPr>
            <w:rStyle w:val="Hyperlink"/>
          </w:rPr>
          <w:t>payment@bu.edu</w:t>
        </w:r>
      </w:hyperlink>
      <w:r>
        <w:t xml:space="preserve">. </w:t>
      </w:r>
    </w:p>
    <w:p w:rsidR="00852663" w:rsidRDefault="00852663" w:rsidP="00852663">
      <w:pPr>
        <w:spacing w:before="100" w:beforeAutospacing="1" w:after="100" w:afterAutospacing="1"/>
      </w:pPr>
      <w:r>
        <w:t xml:space="preserve">Thank you for your cooperation. </w:t>
      </w:r>
    </w:p>
    <w:p w:rsidR="00495DB9" w:rsidRDefault="00495DB9">
      <w:bookmarkStart w:id="0" w:name="_GoBack"/>
      <w:bookmarkEnd w:id="0"/>
    </w:p>
    <w:sectPr w:rsidR="00495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63"/>
    <w:rsid w:val="00495DB9"/>
    <w:rsid w:val="0085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2663"/>
    <w:rPr>
      <w:color w:val="0000FF"/>
      <w:u w:val="single"/>
    </w:rPr>
  </w:style>
  <w:style w:type="paragraph" w:styleId="NormalWeb">
    <w:name w:val="Normal (Web)"/>
    <w:basedOn w:val="Normal"/>
    <w:uiPriority w:val="99"/>
    <w:unhideWhenUsed/>
    <w:rsid w:val="00852663"/>
    <w:pPr>
      <w:spacing w:before="100" w:beforeAutospacing="1" w:after="100" w:afterAutospacing="1"/>
    </w:pPr>
  </w:style>
  <w:style w:type="paragraph" w:styleId="BalloonText">
    <w:name w:val="Balloon Text"/>
    <w:basedOn w:val="Normal"/>
    <w:link w:val="BalloonTextChar"/>
    <w:uiPriority w:val="99"/>
    <w:semiHidden/>
    <w:unhideWhenUsed/>
    <w:rsid w:val="00852663"/>
    <w:rPr>
      <w:rFonts w:ascii="Tahoma" w:hAnsi="Tahoma" w:cs="Tahoma"/>
      <w:sz w:val="16"/>
      <w:szCs w:val="16"/>
    </w:rPr>
  </w:style>
  <w:style w:type="character" w:customStyle="1" w:styleId="BalloonTextChar">
    <w:name w:val="Balloon Text Char"/>
    <w:basedOn w:val="DefaultParagraphFont"/>
    <w:link w:val="BalloonText"/>
    <w:uiPriority w:val="99"/>
    <w:semiHidden/>
    <w:rsid w:val="00852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2663"/>
    <w:rPr>
      <w:color w:val="0000FF"/>
      <w:u w:val="single"/>
    </w:rPr>
  </w:style>
  <w:style w:type="paragraph" w:styleId="NormalWeb">
    <w:name w:val="Normal (Web)"/>
    <w:basedOn w:val="Normal"/>
    <w:uiPriority w:val="99"/>
    <w:unhideWhenUsed/>
    <w:rsid w:val="00852663"/>
    <w:pPr>
      <w:spacing w:before="100" w:beforeAutospacing="1" w:after="100" w:afterAutospacing="1"/>
    </w:pPr>
  </w:style>
  <w:style w:type="paragraph" w:styleId="BalloonText">
    <w:name w:val="Balloon Text"/>
    <w:basedOn w:val="Normal"/>
    <w:link w:val="BalloonTextChar"/>
    <w:uiPriority w:val="99"/>
    <w:semiHidden/>
    <w:unhideWhenUsed/>
    <w:rsid w:val="00852663"/>
    <w:rPr>
      <w:rFonts w:ascii="Tahoma" w:hAnsi="Tahoma" w:cs="Tahoma"/>
      <w:sz w:val="16"/>
      <w:szCs w:val="16"/>
    </w:rPr>
  </w:style>
  <w:style w:type="character" w:customStyle="1" w:styleId="BalloonTextChar">
    <w:name w:val="Balloon Text Char"/>
    <w:basedOn w:val="DefaultParagraphFont"/>
    <w:link w:val="BalloonText"/>
    <w:uiPriority w:val="99"/>
    <w:semiHidden/>
    <w:rsid w:val="00852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CEF1C3.DAB1B880" TargetMode="External"/><Relationship Id="rId13" Type="http://schemas.openxmlformats.org/officeDocument/2006/relationships/hyperlink" Target="mailto:payment@bu.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image003.png@01CEF1C4.C178B3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EF1C5.32E73E7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cid:image006.png@01CEF1C3.DAB1B88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Monahan, Kathryn Grace</dc:creator>
  <cp:lastModifiedBy>Monahan, Kathryn Grace</cp:lastModifiedBy>
  <cp:revision>1</cp:revision>
  <dcterms:created xsi:type="dcterms:W3CDTF">2014-01-06T22:05:00Z</dcterms:created>
  <dcterms:modified xsi:type="dcterms:W3CDTF">2014-01-06T22:05:00Z</dcterms:modified>
</cp:coreProperties>
</file>