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5F" w:rsidRPr="00C81D50" w:rsidRDefault="00290D5F" w:rsidP="00290D5F">
      <w:pPr>
        <w:spacing w:before="100" w:beforeAutospacing="1" w:after="360" w:line="420" w:lineRule="atLeast"/>
        <w:rPr>
          <w:rFonts w:ascii="Benton" w:eastAsia="Times New Roman" w:hAnsi="Benton" w:cs="Times New Roman"/>
          <w:b/>
          <w:bCs/>
          <w:sz w:val="24"/>
          <w:szCs w:val="24"/>
          <w:u w:val="single"/>
          <w:lang w:val="en"/>
        </w:rPr>
      </w:pPr>
      <w:bookmarkStart w:id="0" w:name="_GoBack"/>
      <w:bookmarkEnd w:id="0"/>
      <w:r w:rsidRPr="00C81D50">
        <w:rPr>
          <w:rFonts w:ascii="Benton" w:eastAsia="Times New Roman" w:hAnsi="Benton" w:cs="Times New Roman"/>
          <w:b/>
          <w:bCs/>
          <w:sz w:val="24"/>
          <w:szCs w:val="24"/>
          <w:u w:val="single"/>
          <w:lang w:val="en"/>
        </w:rPr>
        <w:t>Selected Publications</w:t>
      </w:r>
    </w:p>
    <w:p w:rsidR="00E5277B" w:rsidRPr="00E5277B" w:rsidRDefault="00E5277B" w:rsidP="00E5277B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1.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Polimanti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R, Wang Q,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Meda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S, Patel K,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Pearlson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G, Zhao H,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Farrer LA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Kranzler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HR, Gelernter J. The interplay between risky sexual behavior and alcohol dependence: genome-wide and neuroimaging support for LHPP as a risk gene.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Neuropsychopharm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2017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; 42:598-605. PMID: 27531626 </w:t>
      </w:r>
      <w:hyperlink r:id="rId5" w:history="1"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>http://www.nature.com/npp/journal/vaop/ncurrent/full/npp2016153a.html</w:t>
        </w:r>
      </w:hyperlink>
    </w:p>
    <w:p w:rsidR="00E5277B" w:rsidRPr="00E5277B" w:rsidRDefault="00E5277B" w:rsidP="00E5277B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2. Wang Q,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Polimanti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R,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Kranzler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HR,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Farrer LA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, Zhao H, Gelernter J. Genetic factor common to schizophrenia and HIV infection is associated with risky sexual behavior: Antagonistic vs. synergistic pleiotropic SNPs enriched for distinctly different biological functions. Hum Genet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2017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; 136:75-83. PMID</w:t>
      </w:r>
      <w:proofErr w:type="gram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:27752767</w:t>
      </w:r>
      <w:proofErr w:type="gram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</w:t>
      </w:r>
      <w:hyperlink r:id="rId6" w:history="1"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>http://link.springer.com/article/10.1007%2Fs00439-016- 1737-8</w:t>
        </w:r>
      </w:hyperlink>
    </w:p>
    <w:p w:rsidR="00E5277B" w:rsidRPr="00E5277B" w:rsidRDefault="00E5277B" w:rsidP="00E5277B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3. Wachman EM, Hayes MJ, Sherva R, Brown MS, Shrestha H, Logan BA, Heller NA, Nielsen DA,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Farrer LA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. Association of maternal and infant variants in PNOC and COMT genes with neonatal abstinence syndrome severity. Am J Addict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2017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; 26:42-</w:t>
      </w:r>
      <w:proofErr w:type="gram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49.</w:t>
      </w:r>
      <w:proofErr w:type="gram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PMID: 27983768 </w:t>
      </w:r>
      <w:hyperlink r:id="rId7" w:history="1"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>http://onlinelibrary.wiley.com/doi/10.1111/ajad.12483/abstract</w:t>
        </w:r>
      </w:hyperlink>
    </w:p>
    <w:p w:rsidR="00E5277B" w:rsidRPr="00E5277B" w:rsidRDefault="00E5277B" w:rsidP="00E5277B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4. Jensen KP, Smith AH, Herman AI,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Farrer LA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Kranzler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HR,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Sofuoglu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M, Gelernter J. A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protocadherin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gene cluster regulatory variant is associated with nicotine withdrawal and the urge to smoke.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Mol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Psychiatry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2017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; 22:242-249. PMID</w:t>
      </w:r>
      <w:proofErr w:type="gram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:27067016</w:t>
      </w:r>
      <w:proofErr w:type="gram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</w:t>
      </w:r>
      <w:hyperlink r:id="rId8" w:history="1"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>http://www.nature.com/mp/journal/vaop/ncurrent/pdf/mp201643a.pdf</w:t>
        </w:r>
      </w:hyperlink>
    </w:p>
    <w:p w:rsidR="00E5277B" w:rsidRPr="00E5277B" w:rsidRDefault="00E5277B" w:rsidP="00E5277B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5. Smith AH, Jensen KP, Li J, Nunez Y,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Farrer LA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Hakonarson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H, Cook-Sather SD,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Kranzler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HR, Gelernter J. Genome-wide association study of therapeutic opioid dosing identifies a novel locus upstream of OPRM1.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Mol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Psychiatry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2017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; 22:346-352. PMID: 28115739 </w:t>
      </w:r>
      <w:hyperlink r:id="rId9" w:history="1"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>https://www.ncbi.nlm.nih.gov/pubmed/28115739</w:t>
        </w:r>
      </w:hyperlink>
    </w:p>
    <w:p w:rsidR="00E5277B" w:rsidRPr="00E5277B" w:rsidRDefault="00E5277B" w:rsidP="00E5277B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proofErr w:type="gram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6. Jun G, Chung J, Mez, J, Barber R, Beecham GW, Bennett DA,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Buxbaum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JD, Byrd GS,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Carasquillo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M, Crane PK,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Cruchaga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C, De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Jager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P,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Ertekin-Taner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N, Evans D,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Fallin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MD,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Foroud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TM,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Friedland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RP,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Goate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AM, Graff-Radford NR, Hendrie H, Hall KS, Hamilton-Nelson 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lastRenderedPageBreak/>
        <w:t xml:space="preserve">KL,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Inzelberg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R, Kamboh MI,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Kauwe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JSK,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Kukull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WA,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Kunkle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BW,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Kuwano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R, Logue MW, Manly JJ, Larson EB, Martin ER,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Montine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TJ,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Naj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A,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Reiman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EM, Reitz C, Sherva R, St. George-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Hyslop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PH,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Younkin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SG,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Vardarajan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BN, Wang L-S,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Wendlund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JR, Winslow AR, Alzheimer Disease Genetics Consortium, Haines J,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Mayeux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R,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Pericak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-Vance MA,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Schellenberg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G, Lunetta K,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Farrer LA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.</w:t>
      </w:r>
      <w:proofErr w:type="gram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Transethnic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Genome-Wide Scan Identifies Novel Alzheimer Disease Loci.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Alzheimers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Dement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2017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. In press. PMID: 28183528.</w:t>
      </w:r>
      <w:hyperlink r:id="rId10" w:history="1"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 xml:space="preserve"> http://www.sciencedirect.com/science/article/pii/S1552526017300031</w:t>
        </w:r>
      </w:hyperlink>
    </w:p>
    <w:p w:rsidR="00E5277B" w:rsidRPr="00E5277B" w:rsidRDefault="00E5277B" w:rsidP="00E5277B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7.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Polimanti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R,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Meda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SW,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Pearlson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GD, Sherva R, Zhao H,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Farrer LA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Kranzler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HR, </w:t>
      </w:r>
      <w:proofErr w:type="gram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Gelernter</w:t>
      </w:r>
      <w:proofErr w:type="gram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J. S100A10 identified in a genome-wide gene-by-cannabis dependence interaction analysis of risky sexual behaviors. J Psych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Neurosci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. 2017; 13</w:t>
      </w:r>
      <w:proofErr w:type="gram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;42:160189</w:t>
      </w:r>
      <w:proofErr w:type="gram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. PMID: 28418321.</w:t>
      </w:r>
      <w:hyperlink r:id="rId11" w:history="1"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 xml:space="preserve"> </w:t>
        </w:r>
        <w:proofErr w:type="gramStart"/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>http://jpn.ca/wpcontent/uploads/2017/04/42-4-160189.pdf</w:t>
        </w:r>
      </w:hyperlink>
      <w:r w:rsidRPr="00E5277B">
        <w:rPr>
          <w:rFonts w:ascii="Benton" w:eastAsia="Times New Roman" w:hAnsi="Benton" w:cs="Times New Roman"/>
          <w:sz w:val="24"/>
          <w:szCs w:val="24"/>
          <w:lang w:val="en"/>
        </w:rPr>
        <w:br/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u w:val="single"/>
          <w:lang w:val="en"/>
        </w:rPr>
        <w:br/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8.Huang K,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Marcora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E, Pimenova AA, Di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Narzo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AF, Kapoor M,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Jin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SC, Harari O,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Bertelsen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S, Fairfax B,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Czajkowski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J,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Chouraki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V,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Grenier¬Boley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B,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Bellenguez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C, Deming Y, McKenzie A, Raj T, Renton AE,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Budde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J, Smith A, Fitzpatrick A,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Bis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JC,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DeStefano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A, Adams HHH,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Ikram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MA, van der Lee S, Del-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Aguila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JL, Fernandez MV, Ibanez L, The International Genomics of Alzheimer’s Project, The Alzheimer’s Disease Neuroimaging Initiative, Sims R,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Escott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-Price,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Mayeux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R, Haines JL,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Farrer LA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Pericak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-Vance MA, Lambert JC, van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Duijn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C,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Launer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L,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Seshadri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S, Williams J,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Amouyel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P,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Schellenberg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GD, Zhang B,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Borecki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I,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Kauwe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JSK,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Cruchaga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C,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Hao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K,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Goate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.</w:t>
      </w:r>
      <w:proofErr w:type="gram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A common haplotype lowers PU.1 expression in myeloid cells and delays age at onset of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Alzheimerâ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€™s disease. Nature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Neurosci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2017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. In press.</w:t>
      </w:r>
    </w:p>
    <w:p w:rsidR="00E5277B" w:rsidRPr="00E5277B" w:rsidRDefault="00E5277B" w:rsidP="00E5277B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9. Jun G, Ibrahim-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Verbaas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CA,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Vronskaya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</w:t>
      </w:r>
      <w:proofErr w:type="gram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M,..</w:t>
      </w:r>
      <w:proofErr w:type="gram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.112 authors…, van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Duijn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CM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Schellenberg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GD,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Farrer LA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. A novel Alzheimer disease locus located near the gene encoding tau protein.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u w:val="single"/>
          <w:lang w:val="en"/>
        </w:rPr>
        <w:t>Mol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u w:val="single"/>
          <w:lang w:val="en"/>
        </w:rPr>
        <w:t xml:space="preserve"> Psych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2016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; 21:108-117. PMID: 25778476 </w:t>
      </w:r>
      <w:hyperlink r:id="rId12" w:history="1"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>[</w:t>
        </w:r>
        <w:proofErr w:type="spellStart"/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>pubmed</w:t>
        </w:r>
        <w:proofErr w:type="spellEnd"/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>]</w:t>
        </w:r>
      </w:hyperlink>
    </w:p>
    <w:p w:rsidR="00E5277B" w:rsidRPr="00E5277B" w:rsidRDefault="00E5277B" w:rsidP="00E5277B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10.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Kunkle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BW,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Jaworski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J,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Barral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S,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Vardarajan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B, Beecham GW, Martin ER, Cantwell LS,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Partch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A, Bird TD,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Raskind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WH,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DeStefano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A, Carney RM, Cantwell LS,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Cuccaro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, ML, Vance JM,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Farrer LA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Goate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AM,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Foroud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T,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Mayeux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RP,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Schellenberg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GD ,Haines JL,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Pericak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-Vance MA. Genome-wide linkage analyses of non-Hispanic White families identifies novel loci for </w:t>
      </w:r>
      <w:r w:rsidRPr="00E5277B">
        <w:rPr>
          <w:rFonts w:ascii="Benton" w:eastAsia="Times New Roman" w:hAnsi="Benton" w:cs="Times New Roman"/>
          <w:sz w:val="24"/>
          <w:szCs w:val="24"/>
          <w:lang w:val="en"/>
        </w:rPr>
        <w:lastRenderedPageBreak/>
        <w:t xml:space="preserve">familial late-onset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Alzheimerâ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€™s disease. </w:t>
      </w:r>
      <w:proofErr w:type="spell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Alzheimers</w:t>
      </w:r>
      <w:proofErr w:type="spell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Dement </w:t>
      </w:r>
      <w:r w:rsidRPr="00E5277B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2016</w:t>
      </w:r>
      <w:proofErr w:type="gramStart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>;</w:t>
      </w:r>
      <w:proofErr w:type="gramEnd"/>
      <w:r w:rsidRPr="00E5277B">
        <w:rPr>
          <w:rFonts w:ascii="Benton" w:eastAsia="Times New Roman" w:hAnsi="Benton" w:cs="Times New Roman"/>
          <w:sz w:val="24"/>
          <w:szCs w:val="24"/>
          <w:lang w:val="en"/>
        </w:rPr>
        <w:t xml:space="preserve"> 12:2-10. PMID: 26365416.</w:t>
      </w:r>
      <w:hyperlink r:id="rId13" w:history="1">
        <w:r w:rsidRPr="00E5277B">
          <w:rPr>
            <w:rFonts w:ascii="Benton" w:eastAsia="Times New Roman" w:hAnsi="Benton" w:cs="Times New Roman"/>
            <w:color w:val="0000FF"/>
            <w:sz w:val="24"/>
            <w:szCs w:val="24"/>
            <w:u w:val="single"/>
            <w:lang w:val="en"/>
          </w:rPr>
          <w:t xml:space="preserve"> http://www.sciencedirect.com/science/article/pii/S1552526015002241</w:t>
        </w:r>
      </w:hyperlink>
    </w:p>
    <w:p w:rsidR="00195081" w:rsidRPr="00290D5F" w:rsidRDefault="00673D23" w:rsidP="00E5277B">
      <w:pPr>
        <w:spacing w:before="100" w:beforeAutospacing="1" w:after="360" w:line="420" w:lineRule="atLeast"/>
      </w:pPr>
    </w:p>
    <w:sectPr w:rsidR="00195081" w:rsidRPr="0029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7B96"/>
    <w:multiLevelType w:val="multilevel"/>
    <w:tmpl w:val="19DC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2C"/>
    <w:rsid w:val="0018572C"/>
    <w:rsid w:val="00290D5F"/>
    <w:rsid w:val="002C6583"/>
    <w:rsid w:val="00673D23"/>
    <w:rsid w:val="007F4877"/>
    <w:rsid w:val="0098681B"/>
    <w:rsid w:val="00C81D50"/>
    <w:rsid w:val="00E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6DD1"/>
  <w15:chartTrackingRefBased/>
  <w15:docId w15:val="{8FD1313C-6073-4EB1-A5FB-28FFC4C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8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68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681B"/>
    <w:rPr>
      <w:i/>
      <w:iCs/>
    </w:rPr>
  </w:style>
  <w:style w:type="character" w:customStyle="1" w:styleId="altmetric-embed">
    <w:name w:val="altmetric-embed"/>
    <w:basedOn w:val="DefaultParagraphFont"/>
    <w:rsid w:val="0029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9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5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0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1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4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57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5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1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9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22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74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20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mp/journal/vaop/ncurrent/pdf/mp201643a.pdf" TargetMode="External"/><Relationship Id="rId13" Type="http://schemas.openxmlformats.org/officeDocument/2006/relationships/hyperlink" Target="http://www.sciencedirect.com/science/article/pii/S1552526015002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111/ajad.12483/abstract" TargetMode="External"/><Relationship Id="rId12" Type="http://schemas.openxmlformats.org/officeDocument/2006/relationships/hyperlink" Target="http://www.ncbi.nlm.nih.gov/pubmed/?term=25778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article/10.1007%2Fs00439-016-%201737-8" TargetMode="External"/><Relationship Id="rId11" Type="http://schemas.openxmlformats.org/officeDocument/2006/relationships/hyperlink" Target="http://jpn.ca/wpcontent/uploads/2017/04/42-4-160189.pdf" TargetMode="External"/><Relationship Id="rId5" Type="http://schemas.openxmlformats.org/officeDocument/2006/relationships/hyperlink" Target="http://www.nature.com/npp/journal/vaop/ncurrent/full/npp2016153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iencedirect.com/science/article/pii/S155252601730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1157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747</Words>
  <Characters>4258</Characters>
  <Application>Microsoft Office Word</Application>
  <DocSecurity>0</DocSecurity>
  <Lines>35</Lines>
  <Paragraphs>9</Paragraphs>
  <ScaleCrop>false</ScaleCrop>
  <Company>Boston University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Huskic, Senka</dc:creator>
  <cp:keywords/>
  <dc:description/>
  <cp:lastModifiedBy>Huskic, Senka</cp:lastModifiedBy>
  <cp:revision>6</cp:revision>
  <dcterms:created xsi:type="dcterms:W3CDTF">2018-01-16T17:06:00Z</dcterms:created>
  <dcterms:modified xsi:type="dcterms:W3CDTF">2018-01-17T16:05:00Z</dcterms:modified>
</cp:coreProperties>
</file>