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9D" w:rsidRDefault="00A530B2">
      <w:r w:rsidRPr="00A530B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44929</wp:posOffset>
            </wp:positionH>
            <wp:positionV relativeFrom="paragraph">
              <wp:posOffset>-120770</wp:posOffset>
            </wp:positionV>
            <wp:extent cx="1015221" cy="448574"/>
            <wp:effectExtent l="19050" t="0" r="9525" b="0"/>
            <wp:wrapSquare wrapText="bothSides"/>
            <wp:docPr id="1" name="Picture 4" descr="boston_univ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ston_univ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</w:p>
    <w:p w:rsidR="00A530B2" w:rsidRDefault="00A530B2" w:rsidP="00A530B2">
      <w:pPr>
        <w:rPr>
          <w:rFonts w:ascii="Arial" w:eastAsia="Times New Roman" w:hAnsi="Arial" w:cs="Arial"/>
          <w:b/>
          <w:color w:val="FF0000"/>
        </w:rPr>
      </w:pPr>
      <w:r w:rsidRPr="00A979AD">
        <w:rPr>
          <w:rFonts w:ascii="Arial" w:eastAsia="Times New Roman" w:hAnsi="Arial" w:cs="Arial"/>
          <w:b/>
          <w:sz w:val="20"/>
          <w:szCs w:val="20"/>
        </w:rPr>
        <w:t>Boston University</w:t>
      </w:r>
      <w:r w:rsidRPr="00A979AD">
        <w:rPr>
          <w:rFonts w:ascii="Arial" w:eastAsia="Times New Roman" w:hAnsi="Arial" w:cs="Arial"/>
          <w:sz w:val="20"/>
          <w:szCs w:val="20"/>
        </w:rPr>
        <w:t xml:space="preserve"> School of Medicine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A979AD">
        <w:rPr>
          <w:rFonts w:ascii="Arial" w:eastAsia="Times New Roman" w:hAnsi="Arial" w:cs="Arial"/>
          <w:b/>
          <w:sz w:val="20"/>
          <w:szCs w:val="20"/>
        </w:rPr>
        <w:t>Division of Graduate Medical Sciences</w:t>
      </w: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0A37ED">
        <w:rPr>
          <w:rFonts w:ascii="Arial" w:eastAsia="Times New Roman" w:hAnsi="Arial" w:cs="Arial"/>
          <w:b/>
          <w:color w:val="FF0000"/>
        </w:rPr>
        <w:t>M.S</w:t>
      </w:r>
      <w:r w:rsidRPr="002766E9">
        <w:rPr>
          <w:rFonts w:ascii="Arial" w:eastAsia="Times New Roman" w:hAnsi="Arial" w:cs="Arial"/>
          <w:b/>
          <w:color w:val="FF0000"/>
        </w:rPr>
        <w:t>. in Clinical Investigation</w:t>
      </w:r>
      <w:r>
        <w:rPr>
          <w:rFonts w:ascii="Arial" w:eastAsia="Times New Roman" w:hAnsi="Arial" w:cs="Arial"/>
          <w:b/>
          <w:color w:val="FF0000"/>
        </w:rPr>
        <w:t xml:space="preserve"> Program</w:t>
      </w:r>
    </w:p>
    <w:p w:rsidR="004E70CF" w:rsidRDefault="0033630F" w:rsidP="004E70CF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Thesis Proposal</w:t>
      </w:r>
    </w:p>
    <w:p w:rsidR="004E70CF" w:rsidRDefault="004E70CF" w:rsidP="004E70CF">
      <w:pPr>
        <w:rPr>
          <w:rFonts w:ascii="Arial" w:hAnsi="Arial" w:cs="Arial"/>
          <w:sz w:val="20"/>
          <w:szCs w:val="20"/>
        </w:rPr>
      </w:pPr>
      <w:r w:rsidRPr="004E70CF">
        <w:rPr>
          <w:rFonts w:ascii="Arial" w:hAnsi="Arial" w:cs="Arial"/>
          <w:sz w:val="20"/>
          <w:szCs w:val="20"/>
        </w:rPr>
        <w:t xml:space="preserve">Students </w:t>
      </w:r>
      <w:r>
        <w:rPr>
          <w:rFonts w:ascii="Arial" w:hAnsi="Arial" w:cs="Arial"/>
          <w:sz w:val="20"/>
          <w:szCs w:val="20"/>
        </w:rPr>
        <w:t xml:space="preserve">are required to </w:t>
      </w:r>
      <w:r w:rsidR="00754691">
        <w:rPr>
          <w:rFonts w:ascii="Arial" w:hAnsi="Arial" w:cs="Arial"/>
          <w:sz w:val="20"/>
          <w:szCs w:val="20"/>
        </w:rPr>
        <w:t xml:space="preserve">submit and present their </w:t>
      </w:r>
      <w:hyperlink r:id="rId9" w:history="1">
        <w:r w:rsidRPr="004E70C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thesis</w:t>
        </w:r>
      </w:hyperlink>
      <w:r>
        <w:rPr>
          <w:rFonts w:ascii="Arial" w:hAnsi="Arial" w:cs="Arial"/>
          <w:sz w:val="20"/>
          <w:szCs w:val="20"/>
        </w:rPr>
        <w:t xml:space="preserve"> proposal</w:t>
      </w:r>
      <w:r w:rsidRPr="004E70CF">
        <w:rPr>
          <w:rFonts w:ascii="Arial" w:hAnsi="Arial" w:cs="Arial"/>
          <w:sz w:val="20"/>
          <w:szCs w:val="20"/>
        </w:rPr>
        <w:t xml:space="preserve"> to </w:t>
      </w:r>
      <w:r w:rsidR="000A37ED">
        <w:rPr>
          <w:rFonts w:ascii="Arial" w:hAnsi="Arial" w:cs="Arial"/>
          <w:sz w:val="20"/>
          <w:szCs w:val="20"/>
        </w:rPr>
        <w:t>the MS</w:t>
      </w:r>
      <w:r>
        <w:rPr>
          <w:rFonts w:ascii="Arial" w:hAnsi="Arial" w:cs="Arial"/>
          <w:sz w:val="20"/>
          <w:szCs w:val="20"/>
        </w:rPr>
        <w:t>CI Director and Assistant Director</w:t>
      </w:r>
      <w:r w:rsidRPr="004E70CF">
        <w:rPr>
          <w:rFonts w:ascii="Arial" w:hAnsi="Arial" w:cs="Arial"/>
          <w:sz w:val="20"/>
          <w:szCs w:val="20"/>
        </w:rPr>
        <w:t xml:space="preserve"> </w:t>
      </w:r>
      <w:r w:rsidR="00117CFE">
        <w:rPr>
          <w:rFonts w:ascii="Arial" w:hAnsi="Arial" w:cs="Arial"/>
          <w:b/>
          <w:i/>
          <w:sz w:val="20"/>
          <w:szCs w:val="20"/>
        </w:rPr>
        <w:t xml:space="preserve">prior to embarking on the thesis project </w:t>
      </w:r>
      <w:r w:rsidRPr="004E70CF">
        <w:rPr>
          <w:rFonts w:ascii="Arial" w:hAnsi="Arial" w:cs="Arial"/>
          <w:sz w:val="20"/>
          <w:szCs w:val="20"/>
        </w:rPr>
        <w:t xml:space="preserve">in order to show the intended </w:t>
      </w:r>
      <w:r>
        <w:rPr>
          <w:rFonts w:ascii="Arial" w:hAnsi="Arial" w:cs="Arial"/>
          <w:sz w:val="20"/>
          <w:szCs w:val="20"/>
        </w:rPr>
        <w:t>direction and scope of the thesi</w:t>
      </w:r>
      <w:r w:rsidRPr="004E70CF">
        <w:rPr>
          <w:rFonts w:ascii="Arial" w:hAnsi="Arial" w:cs="Arial"/>
          <w:sz w:val="20"/>
          <w:szCs w:val="20"/>
        </w:rPr>
        <w:t xml:space="preserve">s. </w:t>
      </w:r>
      <w:hyperlink r:id="rId10" w:tooltip="Thesis" w:history="1">
        <w:r w:rsidRPr="004E70C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Thesis</w:t>
        </w:r>
      </w:hyperlink>
      <w:r w:rsidRPr="004E70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proposals are very important </w:t>
      </w:r>
      <w:r w:rsidRPr="004E70CF">
        <w:rPr>
          <w:rFonts w:ascii="Arial" w:hAnsi="Arial" w:cs="Arial"/>
          <w:sz w:val="20"/>
          <w:szCs w:val="20"/>
        </w:rPr>
        <w:t xml:space="preserve">because they give </w:t>
      </w:r>
      <w:r>
        <w:rPr>
          <w:rFonts w:ascii="Arial" w:hAnsi="Arial" w:cs="Arial"/>
          <w:sz w:val="20"/>
          <w:szCs w:val="20"/>
        </w:rPr>
        <w:t>us</w:t>
      </w:r>
      <w:r w:rsidRPr="004E70CF">
        <w:rPr>
          <w:rFonts w:ascii="Arial" w:hAnsi="Arial" w:cs="Arial"/>
          <w:sz w:val="20"/>
          <w:szCs w:val="20"/>
        </w:rPr>
        <w:t xml:space="preserve"> a chance</w:t>
      </w:r>
      <w:r>
        <w:rPr>
          <w:rFonts w:ascii="Arial" w:hAnsi="Arial" w:cs="Arial"/>
          <w:sz w:val="20"/>
          <w:szCs w:val="20"/>
        </w:rPr>
        <w:t xml:space="preserve"> to review and approve the work </w:t>
      </w:r>
      <w:r w:rsidRPr="00BA4692">
        <w:rPr>
          <w:rFonts w:ascii="Arial" w:hAnsi="Arial" w:cs="Arial"/>
          <w:b/>
          <w:i/>
          <w:sz w:val="20"/>
          <w:szCs w:val="20"/>
          <w:u w:val="single"/>
        </w:rPr>
        <w:t>before</w:t>
      </w:r>
      <w:r>
        <w:rPr>
          <w:rFonts w:ascii="Arial" w:hAnsi="Arial" w:cs="Arial"/>
          <w:sz w:val="20"/>
          <w:szCs w:val="20"/>
        </w:rPr>
        <w:t xml:space="preserve"> you</w:t>
      </w:r>
      <w:r w:rsidRPr="004E70CF">
        <w:rPr>
          <w:rFonts w:ascii="Arial" w:hAnsi="Arial" w:cs="Arial"/>
          <w:sz w:val="20"/>
          <w:szCs w:val="20"/>
        </w:rPr>
        <w:t xml:space="preserve"> thoroughly invest </w:t>
      </w:r>
      <w:r>
        <w:rPr>
          <w:rFonts w:ascii="Arial" w:hAnsi="Arial" w:cs="Arial"/>
          <w:sz w:val="20"/>
          <w:szCs w:val="20"/>
        </w:rPr>
        <w:t>yourself</w:t>
      </w:r>
      <w:r w:rsidRPr="004E70CF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your topic</w:t>
      </w:r>
      <w:r w:rsidRPr="004E70CF">
        <w:rPr>
          <w:rFonts w:ascii="Arial" w:hAnsi="Arial" w:cs="Arial"/>
          <w:sz w:val="20"/>
          <w:szCs w:val="20"/>
        </w:rPr>
        <w:t>.</w:t>
      </w:r>
    </w:p>
    <w:p w:rsidR="00911E89" w:rsidRDefault="004E70CF" w:rsidP="004E70CF">
      <w:pPr>
        <w:rPr>
          <w:rFonts w:ascii="Arial" w:hAnsi="Arial" w:cs="Arial"/>
          <w:sz w:val="20"/>
          <w:szCs w:val="20"/>
        </w:rPr>
      </w:pPr>
      <w:r w:rsidRPr="004E70CF">
        <w:rPr>
          <w:rFonts w:ascii="Arial" w:hAnsi="Arial" w:cs="Arial"/>
          <w:sz w:val="20"/>
          <w:szCs w:val="20"/>
        </w:rPr>
        <w:t>Thesis proposals m</w:t>
      </w:r>
      <w:r w:rsidR="00911E89">
        <w:rPr>
          <w:rFonts w:ascii="Arial" w:hAnsi="Arial" w:cs="Arial"/>
          <w:sz w:val="20"/>
          <w:szCs w:val="20"/>
        </w:rPr>
        <w:t xml:space="preserve">ay take any of various formats, such as bullet points, outline or paragraph form.  </w:t>
      </w:r>
      <w:r w:rsidR="00322FE0">
        <w:rPr>
          <w:rFonts w:ascii="Arial" w:hAnsi="Arial" w:cs="Arial"/>
          <w:sz w:val="20"/>
          <w:szCs w:val="20"/>
        </w:rPr>
        <w:t>The thesis proposal</w:t>
      </w:r>
      <w:r w:rsidR="00322FE0" w:rsidRPr="00322FE0">
        <w:rPr>
          <w:rFonts w:ascii="Arial" w:hAnsi="Arial" w:cs="Arial"/>
          <w:sz w:val="20"/>
          <w:szCs w:val="20"/>
        </w:rPr>
        <w:t xml:space="preserve"> should be well conceptualized and</w:t>
      </w:r>
      <w:r w:rsidR="00322FE0">
        <w:rPr>
          <w:rFonts w:ascii="Arial" w:hAnsi="Arial" w:cs="Arial"/>
          <w:sz w:val="20"/>
          <w:szCs w:val="20"/>
        </w:rPr>
        <w:t xml:space="preserve"> contain sufficient </w:t>
      </w:r>
      <w:r w:rsidR="00322FE0" w:rsidRPr="00322FE0">
        <w:rPr>
          <w:rFonts w:ascii="Arial" w:hAnsi="Arial" w:cs="Arial"/>
          <w:sz w:val="20"/>
          <w:szCs w:val="20"/>
        </w:rPr>
        <w:t xml:space="preserve">detail to enable </w:t>
      </w:r>
      <w:r w:rsidR="00322FE0">
        <w:rPr>
          <w:rFonts w:ascii="Arial" w:hAnsi="Arial" w:cs="Arial"/>
          <w:sz w:val="20"/>
          <w:szCs w:val="20"/>
        </w:rPr>
        <w:t>us</w:t>
      </w:r>
      <w:r w:rsidR="00322FE0" w:rsidRPr="00322FE0">
        <w:rPr>
          <w:rFonts w:ascii="Arial" w:hAnsi="Arial" w:cs="Arial"/>
          <w:sz w:val="20"/>
          <w:szCs w:val="20"/>
        </w:rPr>
        <w:t xml:space="preserve"> to understand the focus of your project and how you intend to accomplish it. </w:t>
      </w:r>
      <w:r w:rsidR="00911E89">
        <w:rPr>
          <w:rFonts w:ascii="Arial" w:hAnsi="Arial" w:cs="Arial"/>
          <w:sz w:val="20"/>
          <w:szCs w:val="20"/>
        </w:rPr>
        <w:t>Your thesis proposal should contain the following information:</w:t>
      </w:r>
    </w:p>
    <w:p w:rsidR="00911E89" w:rsidRDefault="00911E89" w:rsidP="00911E8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11E89">
        <w:rPr>
          <w:rFonts w:ascii="Arial" w:hAnsi="Arial" w:cs="Arial"/>
          <w:b/>
          <w:sz w:val="20"/>
          <w:szCs w:val="20"/>
          <w:u w:val="single"/>
        </w:rPr>
        <w:t>Background</w:t>
      </w:r>
      <w:r w:rsidR="0010632C">
        <w:rPr>
          <w:rFonts w:ascii="Arial" w:hAnsi="Arial" w:cs="Arial"/>
          <w:sz w:val="20"/>
          <w:szCs w:val="20"/>
        </w:rPr>
        <w:t>:  A</w:t>
      </w:r>
      <w:r>
        <w:rPr>
          <w:rFonts w:ascii="Arial" w:hAnsi="Arial" w:cs="Arial"/>
          <w:sz w:val="20"/>
          <w:szCs w:val="20"/>
        </w:rPr>
        <w:t xml:space="preserve"> brief background (no more than a paragraph) to establish the rationale for your thesis project.</w:t>
      </w:r>
    </w:p>
    <w:p w:rsidR="00D94DDE" w:rsidRDefault="00D94DDE" w:rsidP="00D94DDE">
      <w:pPr>
        <w:pStyle w:val="ListParagraph"/>
        <w:rPr>
          <w:rFonts w:ascii="Arial" w:hAnsi="Arial" w:cs="Arial"/>
          <w:sz w:val="20"/>
          <w:szCs w:val="20"/>
        </w:rPr>
      </w:pPr>
    </w:p>
    <w:p w:rsidR="003E064E" w:rsidRPr="003E064E" w:rsidRDefault="003E064E" w:rsidP="003E064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E064E">
        <w:rPr>
          <w:rFonts w:ascii="Arial" w:hAnsi="Arial" w:cs="Arial"/>
          <w:b/>
          <w:sz w:val="20"/>
          <w:szCs w:val="20"/>
          <w:u w:val="single"/>
        </w:rPr>
        <w:t>Ex.</w:t>
      </w:r>
      <w:r w:rsidRPr="003E064E">
        <w:rPr>
          <w:rFonts w:ascii="Arial" w:hAnsi="Arial" w:cs="Arial"/>
          <w:i/>
          <w:sz w:val="20"/>
          <w:szCs w:val="20"/>
          <w:u w:val="single"/>
        </w:rPr>
        <w:t xml:space="preserve">  </w:t>
      </w:r>
      <w:r w:rsidRPr="003E064E">
        <w:rPr>
          <w:rFonts w:ascii="Arial" w:hAnsi="Arial" w:cs="Arial"/>
          <w:i/>
          <w:sz w:val="20"/>
          <w:szCs w:val="20"/>
        </w:rPr>
        <w:t xml:space="preserve">A high dose chemotherapy regimen (HDT) followed by autologous stem cell transplantation (ASCT) has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 xml:space="preserve">demonstrated therapeutic value for patients with relapsed/refractory (R/R) aggressive non-Hodgkin lymphoma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>(especially diffuse large B cell lymphoma (DLBCL</w:t>
      </w:r>
      <w:r w:rsidRPr="003E064E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3E064E">
        <w:rPr>
          <w:rFonts w:ascii="Arial" w:hAnsi="Arial" w:cs="Arial"/>
          <w:i/>
          <w:sz w:val="20"/>
          <w:szCs w:val="20"/>
        </w:rPr>
        <w:t>)) and Hodgkin lymphoma (HL)</w:t>
      </w:r>
      <w:r w:rsidRPr="003E064E">
        <w:rPr>
          <w:rFonts w:ascii="Arial" w:hAnsi="Arial" w:cs="Arial"/>
          <w:i/>
          <w:sz w:val="20"/>
          <w:szCs w:val="20"/>
          <w:vertAlign w:val="superscript"/>
        </w:rPr>
        <w:t>2,3</w:t>
      </w:r>
      <w:r w:rsidRPr="003E064E">
        <w:rPr>
          <w:rFonts w:ascii="Arial" w:hAnsi="Arial" w:cs="Arial"/>
          <w:i/>
          <w:sz w:val="20"/>
          <w:szCs w:val="20"/>
        </w:rPr>
        <w:t xml:space="preserve">.  This modality is currently the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 xml:space="preserve">standard of care for patients who are refractory or who relapse after first-line therapy, at least if their lymphoma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 xml:space="preserve">demonstrates sensitivity to salvage chemotherapy.  Several studies have previously determined prognostic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 xml:space="preserve">factors for ASCT outcome for both DLBCL and HL.  However, most of these studies were conducted in an era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 xml:space="preserve">where computed tomography (CT) scans and not functional imaging (FI) (gallium scanning or positron emission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 xml:space="preserve">tomography (PET) imaging) was performed to assess remission pre transplant.  More recently, a number of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 xml:space="preserve">groups have reported that the results of FI after salvage chemotherapy and before ASCT is a very strong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>predictor of transplant outcome</w:t>
      </w:r>
      <w:r w:rsidRPr="003E064E">
        <w:rPr>
          <w:rFonts w:ascii="Arial" w:hAnsi="Arial" w:cs="Arial"/>
          <w:i/>
          <w:sz w:val="20"/>
          <w:szCs w:val="20"/>
          <w:vertAlign w:val="superscript"/>
        </w:rPr>
        <w:t>4,5</w:t>
      </w:r>
      <w:r w:rsidRPr="003E064E">
        <w:rPr>
          <w:rFonts w:ascii="Arial" w:hAnsi="Arial" w:cs="Arial"/>
          <w:i/>
          <w:sz w:val="20"/>
          <w:szCs w:val="20"/>
        </w:rPr>
        <w:t xml:space="preserve">.  It remains unclear whether other prognostic factors remain significant when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 xml:space="preserve">accounting for the results of FI.  While pre-transplant FI is clearly of high predictive value, relapse still occurs in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 xml:space="preserve">patients with negative FI. More importantly, a substantial fraction (20-40%) of patients with residual disease by FI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>prior to ASCT still appear to be cured by the transplant</w:t>
      </w:r>
      <w:r w:rsidRPr="003E064E">
        <w:rPr>
          <w:rFonts w:ascii="Arial" w:hAnsi="Arial" w:cs="Arial"/>
          <w:i/>
          <w:sz w:val="20"/>
          <w:szCs w:val="20"/>
          <w:vertAlign w:val="superscript"/>
        </w:rPr>
        <w:t>6</w:t>
      </w:r>
      <w:r w:rsidRPr="003E064E">
        <w:rPr>
          <w:rFonts w:ascii="Arial" w:hAnsi="Arial" w:cs="Arial"/>
          <w:i/>
          <w:sz w:val="20"/>
          <w:szCs w:val="20"/>
        </w:rPr>
        <w:t xml:space="preserve">. Thus, FI alone is not sufficient to select patients for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 xml:space="preserve">transplantation.  It would be valuable to determine what additional factors, if any, impact the prognosis of patients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 xml:space="preserve">undergoing ASCT.  This may allow the creation of a prognostic score that would provide better prognostic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 xml:space="preserve">information than FI alone; more importantly, it may also help to identify a group of patients whose outcomes after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 xml:space="preserve">ASCT are poor enough to justify using alternative treatment modalities (such as allogeneic transplantation or </w:t>
      </w:r>
      <w:r>
        <w:rPr>
          <w:rFonts w:ascii="Arial" w:hAnsi="Arial" w:cs="Arial"/>
          <w:i/>
          <w:sz w:val="20"/>
          <w:szCs w:val="20"/>
        </w:rPr>
        <w:tab/>
      </w:r>
      <w:r w:rsidRPr="003E064E">
        <w:rPr>
          <w:rFonts w:ascii="Arial" w:hAnsi="Arial" w:cs="Arial"/>
          <w:i/>
          <w:sz w:val="20"/>
          <w:szCs w:val="20"/>
        </w:rPr>
        <w:t>tandem transplantation approaches).</w:t>
      </w:r>
    </w:p>
    <w:p w:rsidR="003E064E" w:rsidRPr="003E064E" w:rsidRDefault="003E064E" w:rsidP="00D94DDE">
      <w:pPr>
        <w:pStyle w:val="ListParagraph"/>
        <w:rPr>
          <w:rFonts w:ascii="Arial" w:hAnsi="Arial" w:cs="Arial"/>
          <w:i/>
          <w:sz w:val="20"/>
          <w:szCs w:val="20"/>
        </w:rPr>
      </w:pPr>
    </w:p>
    <w:p w:rsidR="00911E89" w:rsidRDefault="000A37ED" w:rsidP="00911E8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Research QUestion</w:t>
      </w:r>
      <w:r w:rsidR="00911E89" w:rsidRPr="00911E89">
        <w:rPr>
          <w:rFonts w:ascii="Arial" w:hAnsi="Arial" w:cs="Arial"/>
          <w:sz w:val="20"/>
          <w:szCs w:val="20"/>
        </w:rPr>
        <w:t>:</w:t>
      </w:r>
      <w:r w:rsidR="00911E89">
        <w:rPr>
          <w:rFonts w:ascii="Arial" w:hAnsi="Arial" w:cs="Arial"/>
          <w:sz w:val="20"/>
          <w:szCs w:val="20"/>
        </w:rPr>
        <w:t xml:space="preserve">  </w:t>
      </w:r>
      <w:r w:rsidR="00C352D3">
        <w:rPr>
          <w:rFonts w:ascii="Arial" w:hAnsi="Arial" w:cs="Arial"/>
          <w:sz w:val="20"/>
          <w:szCs w:val="20"/>
        </w:rPr>
        <w:t xml:space="preserve">A </w:t>
      </w:r>
      <w:r w:rsidR="00D24925" w:rsidRPr="00D24925">
        <w:rPr>
          <w:rFonts w:ascii="Arial" w:hAnsi="Arial" w:cs="Arial"/>
          <w:sz w:val="20"/>
          <w:szCs w:val="20"/>
        </w:rPr>
        <w:t xml:space="preserve">clear, concise </w:t>
      </w:r>
      <w:r>
        <w:rPr>
          <w:rFonts w:ascii="Arial" w:hAnsi="Arial" w:cs="Arial"/>
          <w:sz w:val="20"/>
          <w:szCs w:val="20"/>
        </w:rPr>
        <w:t>question</w:t>
      </w:r>
      <w:r w:rsidR="00D24925" w:rsidRPr="00D24925">
        <w:rPr>
          <w:rFonts w:ascii="Arial" w:hAnsi="Arial" w:cs="Arial"/>
          <w:sz w:val="20"/>
          <w:szCs w:val="20"/>
        </w:rPr>
        <w:t xml:space="preserve"> of the position you will defend in your paper. The thesis sentence should </w:t>
      </w:r>
      <w:r w:rsidR="00D24925" w:rsidRPr="003E064E">
        <w:rPr>
          <w:rStyle w:val="Emphasis"/>
          <w:rFonts w:ascii="Arial" w:hAnsi="Arial" w:cs="Arial"/>
          <w:sz w:val="20"/>
          <w:szCs w:val="20"/>
          <w:u w:val="single"/>
        </w:rPr>
        <w:t>argue a position</w:t>
      </w:r>
      <w:r w:rsidR="00D24925" w:rsidRPr="00D24925">
        <w:rPr>
          <w:rFonts w:ascii="Arial" w:hAnsi="Arial" w:cs="Arial"/>
          <w:sz w:val="20"/>
          <w:szCs w:val="20"/>
        </w:rPr>
        <w:t>, not summarize information.</w:t>
      </w:r>
      <w:r w:rsidR="00D24925">
        <w:rPr>
          <w:rFonts w:ascii="Arial" w:hAnsi="Arial" w:cs="Arial"/>
          <w:sz w:val="20"/>
          <w:szCs w:val="20"/>
        </w:rPr>
        <w:t xml:space="preserve">  (Hamilton.edu)</w:t>
      </w:r>
    </w:p>
    <w:p w:rsidR="00D94DDE" w:rsidRPr="00D94DDE" w:rsidRDefault="00D94DDE" w:rsidP="00D94DDE">
      <w:pPr>
        <w:pStyle w:val="ListParagraph"/>
        <w:rPr>
          <w:rFonts w:ascii="Arial" w:hAnsi="Arial" w:cs="Arial"/>
          <w:sz w:val="20"/>
          <w:szCs w:val="20"/>
        </w:rPr>
      </w:pPr>
    </w:p>
    <w:p w:rsidR="00D94DDE" w:rsidRPr="009A7E1A" w:rsidRDefault="00D94DDE" w:rsidP="00D94DDE">
      <w:pPr>
        <w:pStyle w:val="ListParagraph"/>
        <w:rPr>
          <w:rFonts w:ascii="Arial" w:hAnsi="Arial" w:cs="Arial"/>
          <w:i/>
          <w:sz w:val="20"/>
          <w:szCs w:val="20"/>
        </w:rPr>
      </w:pPr>
      <w:r w:rsidRPr="003E064E">
        <w:rPr>
          <w:rFonts w:ascii="Arial" w:hAnsi="Arial" w:cs="Arial"/>
          <w:b/>
          <w:sz w:val="20"/>
          <w:szCs w:val="20"/>
          <w:u w:val="single"/>
        </w:rPr>
        <w:t>Ex</w:t>
      </w:r>
      <w:r w:rsidRPr="003E064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="008E6462" w:rsidRPr="009A7E1A">
        <w:rPr>
          <w:rFonts w:ascii="Arial" w:hAnsi="Arial" w:cs="Arial"/>
          <w:i/>
          <w:sz w:val="20"/>
          <w:szCs w:val="20"/>
        </w:rPr>
        <w:t>Clinical factors will provide prognostic information independently of pre-transplant FI data for patients undergoing ASCT, allowing con</w:t>
      </w:r>
      <w:r w:rsidR="009A7E1A" w:rsidRPr="009A7E1A">
        <w:rPr>
          <w:rFonts w:ascii="Arial" w:hAnsi="Arial" w:cs="Arial"/>
          <w:i/>
          <w:sz w:val="20"/>
          <w:szCs w:val="20"/>
        </w:rPr>
        <w:t>struction of a prognostic score</w:t>
      </w:r>
      <w:r w:rsidR="008E6462" w:rsidRPr="009A7E1A">
        <w:rPr>
          <w:rFonts w:ascii="Arial" w:hAnsi="Arial" w:cs="Arial"/>
          <w:i/>
          <w:sz w:val="20"/>
          <w:szCs w:val="20"/>
        </w:rPr>
        <w:t xml:space="preserve"> for these patients.</w:t>
      </w:r>
    </w:p>
    <w:p w:rsidR="008E6462" w:rsidRDefault="008E6462" w:rsidP="00D94DDE">
      <w:pPr>
        <w:pStyle w:val="ListParagraph"/>
        <w:rPr>
          <w:rFonts w:ascii="Arial" w:hAnsi="Arial" w:cs="Arial"/>
          <w:sz w:val="20"/>
          <w:szCs w:val="20"/>
        </w:rPr>
      </w:pPr>
    </w:p>
    <w:p w:rsidR="0010632C" w:rsidRDefault="0010632C" w:rsidP="00911E8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Study Design</w:t>
      </w:r>
      <w:r w:rsidR="00D94DDE">
        <w:rPr>
          <w:rFonts w:ascii="Arial" w:hAnsi="Arial" w:cs="Arial"/>
          <w:b/>
          <w:sz w:val="20"/>
          <w:szCs w:val="20"/>
          <w:u w:val="single"/>
        </w:rPr>
        <w:t xml:space="preserve"> &amp; Methods</w:t>
      </w:r>
      <w:r w:rsidRPr="0010632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A </w:t>
      </w:r>
      <w:r w:rsidR="000B3E09">
        <w:rPr>
          <w:rFonts w:ascii="Arial" w:hAnsi="Arial" w:cs="Arial"/>
          <w:sz w:val="20"/>
          <w:szCs w:val="20"/>
        </w:rPr>
        <w:t>description</w:t>
      </w:r>
      <w:r>
        <w:rPr>
          <w:rFonts w:ascii="Arial" w:hAnsi="Arial" w:cs="Arial"/>
          <w:sz w:val="20"/>
          <w:szCs w:val="20"/>
        </w:rPr>
        <w:t xml:space="preserve"> of the study design </w:t>
      </w:r>
      <w:r w:rsidR="009D68D1">
        <w:rPr>
          <w:rFonts w:ascii="Arial" w:hAnsi="Arial" w:cs="Arial"/>
          <w:sz w:val="20"/>
          <w:szCs w:val="20"/>
        </w:rPr>
        <w:t xml:space="preserve">and a </w:t>
      </w:r>
      <w:r w:rsidR="00E77099">
        <w:rPr>
          <w:rFonts w:ascii="Arial" w:hAnsi="Arial" w:cs="Arial"/>
          <w:sz w:val="20"/>
          <w:szCs w:val="20"/>
        </w:rPr>
        <w:t>description of the variables</w:t>
      </w:r>
      <w:r w:rsidR="009D68D1">
        <w:rPr>
          <w:rFonts w:ascii="Arial" w:hAnsi="Arial" w:cs="Arial"/>
          <w:sz w:val="20"/>
          <w:szCs w:val="20"/>
        </w:rPr>
        <w:t xml:space="preserve"> &amp; methods</w:t>
      </w:r>
      <w:r w:rsidR="00E770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 will be used to address your thesis statement.</w:t>
      </w:r>
    </w:p>
    <w:p w:rsidR="009A7E1A" w:rsidRDefault="009A7E1A" w:rsidP="009A7E1A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9A7E1A" w:rsidRPr="009A7E1A" w:rsidRDefault="009A7E1A" w:rsidP="009A7E1A">
      <w:pPr>
        <w:pStyle w:val="ListParagraph"/>
        <w:rPr>
          <w:rFonts w:ascii="Arial" w:hAnsi="Arial" w:cs="Arial"/>
          <w:i/>
          <w:sz w:val="20"/>
          <w:szCs w:val="20"/>
        </w:rPr>
      </w:pPr>
      <w:r w:rsidRPr="003E064E">
        <w:rPr>
          <w:rFonts w:ascii="Arial" w:hAnsi="Arial" w:cs="Arial"/>
          <w:b/>
          <w:sz w:val="20"/>
          <w:szCs w:val="20"/>
          <w:u w:val="single"/>
        </w:rPr>
        <w:t>Ex.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9A7E1A">
        <w:rPr>
          <w:rFonts w:ascii="Arial" w:hAnsi="Arial" w:cs="Arial"/>
          <w:i/>
          <w:sz w:val="20"/>
          <w:szCs w:val="20"/>
        </w:rPr>
        <w:t>Based on the accumulated experience at Boston Medical Center using pre-transplant PET scans and HDT/ASCT treatment for relapsed HL, a retrospective study of outcomes of patients treated within the institution will be conducted.</w:t>
      </w:r>
    </w:p>
    <w:p w:rsidR="009A7E1A" w:rsidRPr="009A7E1A" w:rsidRDefault="009A7E1A" w:rsidP="009A7E1A">
      <w:pPr>
        <w:pStyle w:val="ListParagraph"/>
        <w:rPr>
          <w:rFonts w:ascii="Arial" w:hAnsi="Arial" w:cs="Arial"/>
          <w:sz w:val="20"/>
          <w:szCs w:val="20"/>
        </w:rPr>
      </w:pPr>
    </w:p>
    <w:p w:rsidR="0010632C" w:rsidRDefault="0010632C" w:rsidP="00911E8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Endpoints/Outcomes of Interest</w:t>
      </w:r>
      <w:r w:rsidRPr="0010632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A description of the </w:t>
      </w:r>
      <w:r w:rsidR="003E064E">
        <w:rPr>
          <w:rFonts w:ascii="Arial" w:hAnsi="Arial" w:cs="Arial"/>
          <w:sz w:val="20"/>
          <w:szCs w:val="20"/>
        </w:rPr>
        <w:t>Outcome Measures</w:t>
      </w:r>
      <w:r>
        <w:rPr>
          <w:rFonts w:ascii="Arial" w:hAnsi="Arial" w:cs="Arial"/>
          <w:sz w:val="20"/>
          <w:szCs w:val="20"/>
        </w:rPr>
        <w:t xml:space="preserve"> (</w:t>
      </w:r>
      <w:r w:rsidR="003E064E">
        <w:rPr>
          <w:rFonts w:ascii="Arial" w:hAnsi="Arial" w:cs="Arial"/>
          <w:sz w:val="20"/>
          <w:szCs w:val="20"/>
        </w:rPr>
        <w:t xml:space="preserve">Primary </w:t>
      </w:r>
      <w:r>
        <w:rPr>
          <w:rFonts w:ascii="Arial" w:hAnsi="Arial" w:cs="Arial"/>
          <w:sz w:val="20"/>
          <w:szCs w:val="20"/>
        </w:rPr>
        <w:t>and</w:t>
      </w:r>
      <w:r w:rsidR="003E064E">
        <w:rPr>
          <w:rFonts w:ascii="Arial" w:hAnsi="Arial" w:cs="Arial"/>
          <w:sz w:val="20"/>
          <w:szCs w:val="20"/>
        </w:rPr>
        <w:t xml:space="preserve"> secondary endpoints) </w:t>
      </w:r>
      <w:r w:rsidR="00DF75D2">
        <w:rPr>
          <w:rFonts w:ascii="Arial" w:hAnsi="Arial" w:cs="Arial"/>
          <w:sz w:val="20"/>
          <w:szCs w:val="20"/>
        </w:rPr>
        <w:t>you will use in your study.</w:t>
      </w:r>
    </w:p>
    <w:p w:rsidR="009A7E1A" w:rsidRPr="009A7E1A" w:rsidRDefault="009A7E1A" w:rsidP="009A7E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E064E">
        <w:rPr>
          <w:rFonts w:ascii="Arial" w:hAnsi="Arial" w:cs="Arial"/>
          <w:b/>
          <w:sz w:val="20"/>
          <w:szCs w:val="20"/>
          <w:u w:val="single"/>
        </w:rPr>
        <w:t>Ex.</w:t>
      </w:r>
      <w:r w:rsidRPr="009A7E1A">
        <w:rPr>
          <w:rFonts w:ascii="Arial" w:hAnsi="Arial" w:cs="Arial"/>
          <w:i/>
          <w:sz w:val="20"/>
          <w:szCs w:val="20"/>
        </w:rPr>
        <w:t xml:space="preserve">  The primary endpoint of this study will be progression free survival after ASCT.  Secondary outcomes will </w:t>
      </w:r>
      <w:r w:rsidRPr="009A7E1A">
        <w:rPr>
          <w:rFonts w:ascii="Arial" w:hAnsi="Arial" w:cs="Arial"/>
          <w:i/>
          <w:sz w:val="20"/>
          <w:szCs w:val="20"/>
        </w:rPr>
        <w:tab/>
        <w:t>include overall survival and cumulative incidence of relapse and non-relapse mortality.</w:t>
      </w:r>
    </w:p>
    <w:p w:rsidR="004E70CF" w:rsidRPr="00D94DDE" w:rsidRDefault="00DF75D2" w:rsidP="004E70C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4DDE">
        <w:rPr>
          <w:rFonts w:ascii="Arial" w:hAnsi="Arial" w:cs="Arial"/>
          <w:b/>
          <w:sz w:val="20"/>
          <w:szCs w:val="20"/>
          <w:u w:val="single"/>
        </w:rPr>
        <w:t>Planned Statistical Analysis</w:t>
      </w:r>
      <w:r w:rsidRPr="00D94DDE">
        <w:rPr>
          <w:rFonts w:ascii="Arial" w:hAnsi="Arial" w:cs="Arial"/>
          <w:sz w:val="20"/>
          <w:szCs w:val="20"/>
        </w:rPr>
        <w:t xml:space="preserve">:  A brief description of </w:t>
      </w:r>
      <w:r w:rsidR="003E064E">
        <w:rPr>
          <w:rFonts w:ascii="Arial Narrow" w:hAnsi="Arial Narrow"/>
        </w:rPr>
        <w:t>the</w:t>
      </w:r>
      <w:r w:rsidR="009D68D1">
        <w:rPr>
          <w:rFonts w:ascii="Arial Narrow" w:hAnsi="Arial Narrow"/>
        </w:rPr>
        <w:t xml:space="preserve"> </w:t>
      </w:r>
      <w:r w:rsidR="00D94DDE" w:rsidRPr="009D1CFB">
        <w:rPr>
          <w:rFonts w:ascii="Arial Narrow" w:hAnsi="Arial Narrow"/>
        </w:rPr>
        <w:t xml:space="preserve">statistical analyses </w:t>
      </w:r>
      <w:r w:rsidR="003E064E">
        <w:rPr>
          <w:rFonts w:ascii="Arial Narrow" w:hAnsi="Arial Narrow"/>
        </w:rPr>
        <w:t xml:space="preserve">that </w:t>
      </w:r>
      <w:r w:rsidR="00D94DDE">
        <w:rPr>
          <w:rFonts w:ascii="Arial Narrow" w:hAnsi="Arial Narrow"/>
        </w:rPr>
        <w:t>will be used</w:t>
      </w:r>
      <w:r w:rsidR="00D94DDE" w:rsidRPr="009D1CFB">
        <w:rPr>
          <w:rFonts w:ascii="Arial Narrow" w:hAnsi="Arial Narrow"/>
        </w:rPr>
        <w:t xml:space="preserve"> to assess your outcome measures, i.e. primary </w:t>
      </w:r>
      <w:r w:rsidR="003E064E">
        <w:rPr>
          <w:rFonts w:ascii="Arial Narrow" w:hAnsi="Arial Narrow"/>
        </w:rPr>
        <w:t>endpoint</w:t>
      </w:r>
      <w:r w:rsidR="00D94DDE" w:rsidRPr="009D1CFB">
        <w:rPr>
          <w:rFonts w:ascii="Arial Narrow" w:hAnsi="Arial Narrow"/>
        </w:rPr>
        <w:t xml:space="preserve">, secondary </w:t>
      </w:r>
      <w:r w:rsidR="003E064E">
        <w:rPr>
          <w:rFonts w:ascii="Arial Narrow" w:hAnsi="Arial Narrow"/>
        </w:rPr>
        <w:t>endpoints</w:t>
      </w:r>
      <w:r w:rsidR="00D94DDE">
        <w:rPr>
          <w:rFonts w:ascii="Arial Narrow" w:hAnsi="Arial Narrow"/>
        </w:rPr>
        <w:t>.</w:t>
      </w:r>
    </w:p>
    <w:p w:rsidR="003E064E" w:rsidRDefault="003E064E" w:rsidP="003E064E">
      <w:pPr>
        <w:pStyle w:val="NoSpacing"/>
        <w:rPr>
          <w:rFonts w:ascii="Arial" w:hAnsi="Arial" w:cs="Arial"/>
          <w:i/>
          <w:sz w:val="20"/>
          <w:szCs w:val="20"/>
        </w:rPr>
      </w:pPr>
      <w:r>
        <w:tab/>
      </w:r>
      <w:r w:rsidRPr="003E064E">
        <w:rPr>
          <w:rFonts w:ascii="Arial" w:hAnsi="Arial" w:cs="Arial"/>
          <w:b/>
          <w:sz w:val="20"/>
          <w:szCs w:val="20"/>
          <w:u w:val="single"/>
        </w:rPr>
        <w:t>Ex.</w:t>
      </w:r>
      <w:r>
        <w:rPr>
          <w:u w:val="single"/>
        </w:rPr>
        <w:t xml:space="preserve">  </w:t>
      </w:r>
      <w:r w:rsidRPr="003E064E">
        <w:rPr>
          <w:rFonts w:ascii="Arial" w:hAnsi="Arial" w:cs="Arial"/>
          <w:i/>
          <w:sz w:val="20"/>
          <w:szCs w:val="20"/>
        </w:rPr>
        <w:t xml:space="preserve">Patient baseline characteristics will be analyzed descriptively.  Overall survival and progression-free survival </w:t>
      </w:r>
      <w:r w:rsidRPr="003E064E">
        <w:rPr>
          <w:rFonts w:ascii="Arial" w:hAnsi="Arial" w:cs="Arial"/>
          <w:i/>
          <w:sz w:val="20"/>
          <w:szCs w:val="20"/>
        </w:rPr>
        <w:tab/>
        <w:t xml:space="preserve">will be calculated using the Kaplan-Meier method. Overall survival will be defined as the time from stem cell </w:t>
      </w:r>
      <w:r w:rsidRPr="003E064E">
        <w:rPr>
          <w:rFonts w:ascii="Arial" w:hAnsi="Arial" w:cs="Arial"/>
          <w:i/>
          <w:sz w:val="20"/>
          <w:szCs w:val="20"/>
        </w:rPr>
        <w:tab/>
        <w:t xml:space="preserve">infusion to death from any cause. Patients who were alive or lost to follow-up will be censored at the time last </w:t>
      </w:r>
      <w:r w:rsidRPr="003E064E">
        <w:rPr>
          <w:rFonts w:ascii="Arial" w:hAnsi="Arial" w:cs="Arial"/>
          <w:i/>
          <w:sz w:val="20"/>
          <w:szCs w:val="20"/>
        </w:rPr>
        <w:tab/>
        <w:t xml:space="preserve">seen alive.  Progression-free survival will be defined as the time from stem cell infusion to the first indication of </w:t>
      </w:r>
      <w:r w:rsidRPr="003E064E">
        <w:rPr>
          <w:rFonts w:ascii="Arial" w:hAnsi="Arial" w:cs="Arial"/>
          <w:i/>
          <w:sz w:val="20"/>
          <w:szCs w:val="20"/>
        </w:rPr>
        <w:tab/>
        <w:t xml:space="preserve">disease progression, relapse, or death from any cause, whichever occurred first.  Patients who were alive </w:t>
      </w:r>
      <w:r w:rsidRPr="003E064E">
        <w:rPr>
          <w:rFonts w:ascii="Arial" w:hAnsi="Arial" w:cs="Arial"/>
          <w:i/>
          <w:sz w:val="20"/>
          <w:szCs w:val="20"/>
        </w:rPr>
        <w:tab/>
        <w:t xml:space="preserve">without progression will be censored at the time last seen alive and progression-free. The log-rank test will be </w:t>
      </w:r>
      <w:r w:rsidRPr="003E064E">
        <w:rPr>
          <w:rFonts w:ascii="Arial" w:hAnsi="Arial" w:cs="Arial"/>
          <w:i/>
          <w:sz w:val="20"/>
          <w:szCs w:val="20"/>
        </w:rPr>
        <w:tab/>
        <w:t xml:space="preserve">used for comparisons of Kaplan-Meier curves for OS and PFS.  Cox proportional hazards models will be used to </w:t>
      </w:r>
      <w:r w:rsidRPr="003E064E">
        <w:rPr>
          <w:rFonts w:ascii="Arial" w:hAnsi="Arial" w:cs="Arial"/>
          <w:i/>
          <w:sz w:val="20"/>
          <w:szCs w:val="20"/>
        </w:rPr>
        <w:tab/>
        <w:t xml:space="preserve">determine significant predictors of OS and PFS.  Cumulative incidence curves for non-relapse mortality and </w:t>
      </w:r>
      <w:r w:rsidRPr="003E064E">
        <w:rPr>
          <w:rFonts w:ascii="Arial" w:hAnsi="Arial" w:cs="Arial"/>
          <w:i/>
          <w:sz w:val="20"/>
          <w:szCs w:val="20"/>
        </w:rPr>
        <w:tab/>
        <w:t xml:space="preserve">relapse with or without death will be constructed reflecting time to relapse and time to non-relapse death as </w:t>
      </w:r>
      <w:r w:rsidRPr="003E064E">
        <w:rPr>
          <w:rFonts w:ascii="Arial" w:hAnsi="Arial" w:cs="Arial"/>
          <w:i/>
          <w:sz w:val="20"/>
          <w:szCs w:val="20"/>
        </w:rPr>
        <w:tab/>
        <w:t xml:space="preserve">competing risks.  The difference between cumulative incidence curves in the presence of a competing risk will </w:t>
      </w:r>
      <w:r w:rsidRPr="003E064E">
        <w:rPr>
          <w:rFonts w:ascii="Arial" w:hAnsi="Arial" w:cs="Arial"/>
          <w:i/>
          <w:sz w:val="20"/>
          <w:szCs w:val="20"/>
        </w:rPr>
        <w:tab/>
        <w:t xml:space="preserve">be tested using the Gray method.  Time to relapse and time to non-relapse death will be measured from the </w:t>
      </w:r>
      <w:r w:rsidRPr="003E064E">
        <w:rPr>
          <w:rFonts w:ascii="Arial" w:hAnsi="Arial" w:cs="Arial"/>
          <w:i/>
          <w:sz w:val="20"/>
          <w:szCs w:val="20"/>
        </w:rPr>
        <w:tab/>
        <w:t xml:space="preserve">date of stem cell infusion.  Competing risks regression model (for relapse and non-relapse mortality) will be used </w:t>
      </w:r>
      <w:r w:rsidRPr="003E064E">
        <w:rPr>
          <w:rFonts w:ascii="Arial" w:hAnsi="Arial" w:cs="Arial"/>
          <w:i/>
          <w:sz w:val="20"/>
          <w:szCs w:val="20"/>
        </w:rPr>
        <w:tab/>
        <w:t>to study prognostic factors for relapse and NRM.</w:t>
      </w:r>
    </w:p>
    <w:p w:rsidR="003D668D" w:rsidRDefault="003D668D" w:rsidP="003E064E">
      <w:pPr>
        <w:pStyle w:val="NoSpacing"/>
        <w:rPr>
          <w:rFonts w:ascii="Arial" w:hAnsi="Arial" w:cs="Arial"/>
          <w:i/>
          <w:sz w:val="20"/>
          <w:szCs w:val="20"/>
        </w:rPr>
      </w:pPr>
    </w:p>
    <w:p w:rsidR="006E6CD3" w:rsidRPr="006E6CD3" w:rsidRDefault="006E6CD3" w:rsidP="006E6CD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E6CD3">
        <w:rPr>
          <w:rFonts w:ascii="Arial" w:hAnsi="Arial" w:cs="Arial"/>
          <w:b/>
          <w:sz w:val="20"/>
          <w:szCs w:val="20"/>
          <w:u w:val="single"/>
        </w:rPr>
        <w:t xml:space="preserve">Proposed Timeline:  </w:t>
      </w:r>
    </w:p>
    <w:p w:rsidR="006E6CD3" w:rsidRPr="006E6CD3" w:rsidRDefault="006E6CD3" w:rsidP="006E6CD3">
      <w:pPr>
        <w:pStyle w:val="ListParagraph"/>
        <w:rPr>
          <w:rFonts w:ascii="Arial" w:hAnsi="Arial" w:cs="Arial"/>
          <w:sz w:val="20"/>
          <w:szCs w:val="20"/>
        </w:rPr>
      </w:pPr>
    </w:p>
    <w:p w:rsidR="006E6CD3" w:rsidRPr="006E6CD3" w:rsidRDefault="006E6CD3" w:rsidP="006E6CD3">
      <w:pPr>
        <w:pStyle w:val="ListParagraph"/>
        <w:rPr>
          <w:rFonts w:ascii="Arial" w:hAnsi="Arial" w:cs="Arial"/>
          <w:i/>
          <w:sz w:val="20"/>
          <w:szCs w:val="20"/>
        </w:rPr>
      </w:pPr>
      <w:r w:rsidRPr="006E6CD3">
        <w:rPr>
          <w:rFonts w:ascii="Arial" w:hAnsi="Arial" w:cs="Arial"/>
          <w:b/>
          <w:sz w:val="20"/>
          <w:szCs w:val="20"/>
          <w:u w:val="single"/>
        </w:rPr>
        <w:t>Ex.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Using the transplant database,</w:t>
      </w:r>
      <w:r w:rsidRPr="006E6CD3">
        <w:rPr>
          <w:rFonts w:ascii="Arial" w:hAnsi="Arial" w:cs="Arial"/>
          <w:i/>
          <w:sz w:val="20"/>
          <w:szCs w:val="20"/>
        </w:rPr>
        <w:t xml:space="preserve"> information on clinical factors </w:t>
      </w:r>
      <w:r>
        <w:rPr>
          <w:rFonts w:ascii="Arial" w:hAnsi="Arial" w:cs="Arial"/>
          <w:i/>
          <w:sz w:val="20"/>
          <w:szCs w:val="20"/>
        </w:rPr>
        <w:t xml:space="preserve">will be collected </w:t>
      </w:r>
      <w:r w:rsidRPr="006E6CD3">
        <w:rPr>
          <w:rFonts w:ascii="Arial" w:hAnsi="Arial" w:cs="Arial"/>
          <w:i/>
          <w:sz w:val="20"/>
          <w:szCs w:val="20"/>
        </w:rPr>
        <w:t>from the medical records of participants through May</w:t>
      </w:r>
      <w:r>
        <w:rPr>
          <w:rFonts w:ascii="Arial" w:hAnsi="Arial" w:cs="Arial"/>
          <w:i/>
          <w:sz w:val="20"/>
          <w:szCs w:val="20"/>
        </w:rPr>
        <w:t xml:space="preserve"> 2012</w:t>
      </w:r>
      <w:r w:rsidRPr="006E6CD3">
        <w:rPr>
          <w:rFonts w:ascii="Arial" w:hAnsi="Arial" w:cs="Arial"/>
          <w:i/>
          <w:sz w:val="20"/>
          <w:szCs w:val="20"/>
        </w:rPr>
        <w:t>.  During the first two weeks of June</w:t>
      </w:r>
      <w:r w:rsidR="008F5A62">
        <w:rPr>
          <w:rFonts w:ascii="Arial" w:hAnsi="Arial" w:cs="Arial"/>
          <w:i/>
          <w:sz w:val="20"/>
          <w:szCs w:val="20"/>
        </w:rPr>
        <w:t xml:space="preserve"> 2012</w:t>
      </w:r>
      <w:r w:rsidRPr="006E6CD3">
        <w:rPr>
          <w:rFonts w:ascii="Arial" w:hAnsi="Arial" w:cs="Arial"/>
          <w:i/>
          <w:sz w:val="20"/>
          <w:szCs w:val="20"/>
        </w:rPr>
        <w:t xml:space="preserve">, SAS </w:t>
      </w:r>
      <w:r w:rsidR="008F5A62">
        <w:rPr>
          <w:rFonts w:ascii="Arial" w:hAnsi="Arial" w:cs="Arial"/>
          <w:i/>
          <w:sz w:val="20"/>
          <w:szCs w:val="20"/>
        </w:rPr>
        <w:t xml:space="preserve">will be utilized </w:t>
      </w:r>
      <w:r w:rsidRPr="006E6CD3">
        <w:rPr>
          <w:rFonts w:ascii="Arial" w:hAnsi="Arial" w:cs="Arial"/>
          <w:i/>
          <w:sz w:val="20"/>
          <w:szCs w:val="20"/>
        </w:rPr>
        <w:t>to perform analyses on the factors extracted from the database</w:t>
      </w:r>
      <w:r w:rsidR="008F5A62">
        <w:rPr>
          <w:rFonts w:ascii="Arial" w:hAnsi="Arial" w:cs="Arial"/>
          <w:i/>
          <w:sz w:val="20"/>
          <w:szCs w:val="20"/>
        </w:rPr>
        <w:t>.  T</w:t>
      </w:r>
      <w:r w:rsidRPr="006E6CD3">
        <w:rPr>
          <w:rFonts w:ascii="Arial" w:hAnsi="Arial" w:cs="Arial"/>
          <w:i/>
          <w:sz w:val="20"/>
          <w:szCs w:val="20"/>
        </w:rPr>
        <w:t xml:space="preserve">he thesis </w:t>
      </w:r>
      <w:r w:rsidR="008F5A62">
        <w:rPr>
          <w:rFonts w:ascii="Arial" w:hAnsi="Arial" w:cs="Arial"/>
          <w:i/>
          <w:sz w:val="20"/>
          <w:szCs w:val="20"/>
        </w:rPr>
        <w:t xml:space="preserve">will then be written </w:t>
      </w:r>
      <w:r w:rsidRPr="006E6CD3">
        <w:rPr>
          <w:rFonts w:ascii="Arial" w:hAnsi="Arial" w:cs="Arial"/>
          <w:i/>
          <w:sz w:val="20"/>
          <w:szCs w:val="20"/>
        </w:rPr>
        <w:t>and give</w:t>
      </w:r>
      <w:r w:rsidR="008F5A62">
        <w:rPr>
          <w:rFonts w:ascii="Arial" w:hAnsi="Arial" w:cs="Arial"/>
          <w:i/>
          <w:sz w:val="20"/>
          <w:szCs w:val="20"/>
        </w:rPr>
        <w:t xml:space="preserve">n </w:t>
      </w:r>
      <w:r w:rsidRPr="006E6CD3">
        <w:rPr>
          <w:rFonts w:ascii="Arial" w:hAnsi="Arial" w:cs="Arial"/>
          <w:i/>
          <w:sz w:val="20"/>
          <w:szCs w:val="20"/>
        </w:rPr>
        <w:t>to the readers in early July.</w:t>
      </w:r>
    </w:p>
    <w:p w:rsidR="003D668D" w:rsidRPr="008F5A62" w:rsidRDefault="008F5A62" w:rsidP="003D668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8F5A62">
        <w:rPr>
          <w:rFonts w:ascii="Arial" w:hAnsi="Arial" w:cs="Arial"/>
          <w:b/>
          <w:sz w:val="20"/>
          <w:szCs w:val="20"/>
          <w:u w:val="single"/>
        </w:rPr>
        <w:t>References:</w:t>
      </w:r>
    </w:p>
    <w:p w:rsidR="009A7E1A" w:rsidRDefault="009A7E1A" w:rsidP="009A7E1A">
      <w:pPr>
        <w:pStyle w:val="ListParagraph"/>
        <w:rPr>
          <w:rFonts w:ascii="Arial" w:hAnsi="Arial" w:cs="Arial"/>
          <w:i/>
          <w:sz w:val="20"/>
          <w:szCs w:val="20"/>
        </w:rPr>
      </w:pPr>
    </w:p>
    <w:p w:rsidR="008F5A62" w:rsidRDefault="008F5A62" w:rsidP="009A7E1A">
      <w:pPr>
        <w:pStyle w:val="ListParagrap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Ex.  </w:t>
      </w:r>
    </w:p>
    <w:p w:rsidR="008F5A62" w:rsidRPr="0056672C" w:rsidRDefault="008F5A62" w:rsidP="008F5A6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8F5A62">
        <w:rPr>
          <w:rFonts w:ascii="Calibri" w:eastAsia="Calibri" w:hAnsi="Calibri" w:cs="Times New Roman"/>
          <w:lang w:val="fr-FR"/>
        </w:rPr>
        <w:t xml:space="preserve">Philip T, Guglielmi C, Hagenbeek A, et al.  </w:t>
      </w:r>
      <w:r w:rsidRPr="0056672C">
        <w:rPr>
          <w:rFonts w:ascii="Calibri" w:eastAsia="Calibri" w:hAnsi="Calibri" w:cs="Times New Roman"/>
        </w:rPr>
        <w:t>Autologous bone marrow transplantation as compared with salvage chemotherapy in relapses of chemotherapy-sensitive non-Hodgkin’s lymphoma. N Engl J Med. 1995; 333:1540-1545.</w:t>
      </w:r>
    </w:p>
    <w:p w:rsidR="008F5A62" w:rsidRPr="0056672C" w:rsidRDefault="008F5A62" w:rsidP="008F5A6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56672C">
        <w:rPr>
          <w:rFonts w:ascii="Calibri" w:eastAsia="Calibri" w:hAnsi="Calibri" w:cs="Times New Roman"/>
        </w:rPr>
        <w:t>Linch DC, Winfield D, Goldstone AH, et al. Dose intensification with autologous bone-marrow transplantation in relapsed and resistant Hodgkin’s disease: results of a BNLI randomised trial. Lancet. 1993; 341:1051–1054.</w:t>
      </w:r>
    </w:p>
    <w:p w:rsidR="008F5A62" w:rsidRPr="00FF1FF4" w:rsidRDefault="008F5A62" w:rsidP="008F5A6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8F5A62">
        <w:rPr>
          <w:rFonts w:ascii="Calibri" w:eastAsia="Calibri" w:hAnsi="Calibri" w:cs="Times"/>
          <w:szCs w:val="32"/>
          <w:lang w:val="de-DE"/>
        </w:rPr>
        <w:t xml:space="preserve">Schmitz N, Pfistner B, Sextro M, et al. </w:t>
      </w:r>
      <w:r w:rsidRPr="008F5A62">
        <w:rPr>
          <w:rFonts w:ascii="Calibri" w:eastAsia="Calibri" w:hAnsi="Calibri" w:cs="Times"/>
          <w:szCs w:val="32"/>
        </w:rPr>
        <w:t>Aggressive conventional chemotherapy compared with high-dose chemotherapy with autologous haemopoietic stem-cell transplantation for relapsed chemosensitive Hodgkin’s disease: a randomised trial. Lancet. 2002;359:2065–2071.</w:t>
      </w:r>
    </w:p>
    <w:p w:rsidR="008F5A62" w:rsidRPr="00FF1FF4" w:rsidRDefault="008F5A62" w:rsidP="008F5A6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8F5A62">
        <w:rPr>
          <w:rFonts w:ascii="Calibri" w:eastAsia="Calibri" w:hAnsi="Calibri" w:cs="Times"/>
          <w:szCs w:val="32"/>
        </w:rPr>
        <w:t xml:space="preserve">Schot BW, Ziljstra JM, Sluiter, WJ, et al.  Early FDG-PET assessment in combination with clinical risk scores determines prognosis in recurring lymphoma.  Blood.  2007;109: 486-491.  </w:t>
      </w:r>
    </w:p>
    <w:p w:rsidR="008F5A62" w:rsidRDefault="008F5A62" w:rsidP="008F5A6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8F5A62">
        <w:rPr>
          <w:rFonts w:ascii="Calibri" w:eastAsia="Calibri" w:hAnsi="Calibri" w:cs="Times New Roman"/>
          <w:lang w:val="da-DK"/>
        </w:rPr>
        <w:t xml:space="preserve">Moskowitz CH, Yahalom J, Zelenetz AD, et al.  </w:t>
      </w:r>
      <w:r>
        <w:rPr>
          <w:rFonts w:ascii="Calibri" w:eastAsia="Calibri" w:hAnsi="Calibri" w:cs="Times New Roman"/>
        </w:rPr>
        <w:t xml:space="preserve">High-dose chemo-radiotherapy for relapsed or refractory Hodgkin lymphoma and the significance of pre-transplant functional imaging.  British Journal of Haematology.  2010;148:890-897. </w:t>
      </w:r>
    </w:p>
    <w:p w:rsidR="00D24925" w:rsidRPr="008F5A62" w:rsidRDefault="00D24925" w:rsidP="008F5A6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F5A62">
        <w:rPr>
          <w:rFonts w:ascii="Arial" w:hAnsi="Arial" w:cs="Arial"/>
          <w:sz w:val="20"/>
          <w:szCs w:val="20"/>
        </w:rPr>
        <w:t xml:space="preserve">Introduction and Thesis Statements.  Writing Center at Hamilton College, 2011.  </w:t>
      </w:r>
      <w:hyperlink r:id="rId11" w:history="1">
        <w:r w:rsidRPr="008F5A62">
          <w:rPr>
            <w:rStyle w:val="Hyperlink"/>
            <w:rFonts w:ascii="Arial" w:hAnsi="Arial" w:cs="Arial"/>
            <w:sz w:val="20"/>
            <w:szCs w:val="20"/>
          </w:rPr>
          <w:t>http://www.hamilton.edu/writing/writing-resources/introductions-and-thesis-statements</w:t>
        </w:r>
      </w:hyperlink>
      <w:r w:rsidRPr="008F5A62">
        <w:rPr>
          <w:rFonts w:ascii="Arial" w:hAnsi="Arial" w:cs="Arial"/>
          <w:sz w:val="20"/>
          <w:szCs w:val="20"/>
        </w:rPr>
        <w:t>.</w:t>
      </w:r>
    </w:p>
    <w:p w:rsidR="00D24925" w:rsidRPr="00D24925" w:rsidRDefault="00D2492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24925" w:rsidRPr="00D24925" w:rsidSect="00A530B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D3" w:rsidRDefault="006E6CD3" w:rsidP="00D24925">
      <w:pPr>
        <w:spacing w:after="0" w:line="240" w:lineRule="auto"/>
      </w:pPr>
      <w:r>
        <w:separator/>
      </w:r>
    </w:p>
  </w:endnote>
  <w:endnote w:type="continuationSeparator" w:id="0">
    <w:p w:rsidR="006E6CD3" w:rsidRDefault="006E6CD3" w:rsidP="00D2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D3" w:rsidRDefault="006E6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Hess Pino, 5/2012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A37ED">
      <w:fldChar w:fldCharType="begin"/>
    </w:r>
    <w:r w:rsidR="000A37ED">
      <w:instrText xml:space="preserve"> PAGE   \* MERGEFORMAT </w:instrText>
    </w:r>
    <w:r w:rsidR="000A37ED">
      <w:fldChar w:fldCharType="separate"/>
    </w:r>
    <w:r w:rsidR="000A37ED" w:rsidRPr="000A37ED">
      <w:rPr>
        <w:rFonts w:asciiTheme="majorHAnsi" w:hAnsiTheme="majorHAnsi"/>
        <w:noProof/>
      </w:rPr>
      <w:t>1</w:t>
    </w:r>
    <w:r w:rsidR="000A37ED">
      <w:rPr>
        <w:rFonts w:asciiTheme="majorHAnsi" w:hAnsiTheme="majorHAnsi"/>
        <w:noProof/>
      </w:rPr>
      <w:fldChar w:fldCharType="end"/>
    </w:r>
  </w:p>
  <w:p w:rsidR="006E6CD3" w:rsidRDefault="006E6C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D3" w:rsidRDefault="006E6CD3" w:rsidP="00D24925">
      <w:pPr>
        <w:spacing w:after="0" w:line="240" w:lineRule="auto"/>
      </w:pPr>
      <w:r>
        <w:separator/>
      </w:r>
    </w:p>
  </w:footnote>
  <w:footnote w:type="continuationSeparator" w:id="0">
    <w:p w:rsidR="006E6CD3" w:rsidRDefault="006E6CD3" w:rsidP="00D24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E37"/>
    <w:multiLevelType w:val="hybridMultilevel"/>
    <w:tmpl w:val="A1525C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2178D1"/>
    <w:multiLevelType w:val="hybridMultilevel"/>
    <w:tmpl w:val="2C6A6934"/>
    <w:lvl w:ilvl="0" w:tplc="01FA1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55D7B"/>
    <w:multiLevelType w:val="hybridMultilevel"/>
    <w:tmpl w:val="473A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B2"/>
    <w:rsid w:val="000A37ED"/>
    <w:rsid w:val="000B3E09"/>
    <w:rsid w:val="0010632C"/>
    <w:rsid w:val="00117CFE"/>
    <w:rsid w:val="00322FE0"/>
    <w:rsid w:val="0033630F"/>
    <w:rsid w:val="003D668D"/>
    <w:rsid w:val="003E064E"/>
    <w:rsid w:val="0041264D"/>
    <w:rsid w:val="004E70CF"/>
    <w:rsid w:val="005D7536"/>
    <w:rsid w:val="006E6CD3"/>
    <w:rsid w:val="00754691"/>
    <w:rsid w:val="0079471F"/>
    <w:rsid w:val="0086188F"/>
    <w:rsid w:val="008E6462"/>
    <w:rsid w:val="008F5A62"/>
    <w:rsid w:val="00911E89"/>
    <w:rsid w:val="009A7E1A"/>
    <w:rsid w:val="009D68D1"/>
    <w:rsid w:val="00A22690"/>
    <w:rsid w:val="00A530B2"/>
    <w:rsid w:val="00BA4692"/>
    <w:rsid w:val="00C352D3"/>
    <w:rsid w:val="00CD275F"/>
    <w:rsid w:val="00D24925"/>
    <w:rsid w:val="00D94DDE"/>
    <w:rsid w:val="00DF75D2"/>
    <w:rsid w:val="00E6350E"/>
    <w:rsid w:val="00E77099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mkeywordlink">
    <w:name w:val="bm_keywordlink"/>
    <w:basedOn w:val="DefaultParagraphFont"/>
    <w:rsid w:val="004E70CF"/>
  </w:style>
  <w:style w:type="character" w:styleId="Hyperlink">
    <w:name w:val="Hyperlink"/>
    <w:basedOn w:val="DefaultParagraphFont"/>
    <w:uiPriority w:val="99"/>
    <w:unhideWhenUsed/>
    <w:rsid w:val="004E70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1E8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2492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2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925"/>
  </w:style>
  <w:style w:type="paragraph" w:styleId="Footer">
    <w:name w:val="footer"/>
    <w:basedOn w:val="Normal"/>
    <w:link w:val="FooterChar"/>
    <w:uiPriority w:val="99"/>
    <w:unhideWhenUsed/>
    <w:rsid w:val="00D2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925"/>
  </w:style>
  <w:style w:type="paragraph" w:styleId="NoSpacing">
    <w:name w:val="No Spacing"/>
    <w:uiPriority w:val="1"/>
    <w:qFormat/>
    <w:rsid w:val="003E06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mkeywordlink">
    <w:name w:val="bm_keywordlink"/>
    <w:basedOn w:val="DefaultParagraphFont"/>
    <w:rsid w:val="004E70CF"/>
  </w:style>
  <w:style w:type="character" w:styleId="Hyperlink">
    <w:name w:val="Hyperlink"/>
    <w:basedOn w:val="DefaultParagraphFont"/>
    <w:uiPriority w:val="99"/>
    <w:unhideWhenUsed/>
    <w:rsid w:val="004E70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1E8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2492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2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925"/>
  </w:style>
  <w:style w:type="paragraph" w:styleId="Footer">
    <w:name w:val="footer"/>
    <w:basedOn w:val="Normal"/>
    <w:link w:val="FooterChar"/>
    <w:uiPriority w:val="99"/>
    <w:unhideWhenUsed/>
    <w:rsid w:val="00D2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925"/>
  </w:style>
  <w:style w:type="paragraph" w:styleId="NoSpacing">
    <w:name w:val="No Spacing"/>
    <w:uiPriority w:val="1"/>
    <w:qFormat/>
    <w:rsid w:val="003E0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amilton.edu/writing/writing-resources/introductions-and-thesis-statements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essaytown.com/thesis_help_thesis.html" TargetMode="External"/><Relationship Id="rId10" Type="http://schemas.openxmlformats.org/officeDocument/2006/relationships/hyperlink" Target="http://thesiswritingblog.com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1167</Words>
  <Characters>6655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Hess Pino</dc:creator>
  <cp:lastModifiedBy>Stacey Hess Pino</cp:lastModifiedBy>
  <cp:revision>2</cp:revision>
  <dcterms:created xsi:type="dcterms:W3CDTF">2013-10-29T16:38:00Z</dcterms:created>
  <dcterms:modified xsi:type="dcterms:W3CDTF">2013-10-29T16:38:00Z</dcterms:modified>
</cp:coreProperties>
</file>